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eastAsia="黑体"/>
          <w:kern w:val="0"/>
          <w:sz w:val="32"/>
          <w:szCs w:val="32"/>
        </w:rPr>
      </w:pPr>
      <w:bookmarkStart w:id="0" w:name="_GoBack"/>
      <w:bookmarkEnd w:id="0"/>
    </w:p>
    <w:p>
      <w:pPr>
        <w:jc w:val="center"/>
        <w:rPr>
          <w:rFonts w:eastAsia="方正小标宋_GBK"/>
          <w:sz w:val="48"/>
          <w:szCs w:val="48"/>
        </w:rPr>
      </w:pPr>
      <w:r>
        <w:rPr>
          <w:rFonts w:hint="eastAsia" w:eastAsia="方正小标宋_GBK"/>
          <w:sz w:val="48"/>
          <w:szCs w:val="48"/>
          <w:lang w:val="en-US" w:eastAsia="zh-CN"/>
        </w:rPr>
        <w:t>2023</w:t>
      </w:r>
      <w:r>
        <w:rPr>
          <w:rFonts w:eastAsia="方正小标宋_GBK"/>
          <w:sz w:val="48"/>
          <w:szCs w:val="48"/>
        </w:rPr>
        <w:t>年度</w:t>
      </w:r>
      <w:r>
        <w:rPr>
          <w:rFonts w:hint="eastAsia" w:eastAsia="方正小标宋_GBK"/>
          <w:sz w:val="48"/>
          <w:szCs w:val="48"/>
          <w:lang w:val="en-US" w:eastAsia="zh-CN"/>
        </w:rPr>
        <w:t>江永县粗石江镇中心幼儿园</w:t>
      </w:r>
      <w:r>
        <w:rPr>
          <w:rFonts w:eastAsia="方正小标宋_GBK"/>
          <w:sz w:val="48"/>
          <w:szCs w:val="48"/>
        </w:rPr>
        <w:t>整体支出绩效自评报告</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jc w:val="center"/>
        <w:rPr>
          <w:rFonts w:eastAsia="黑体"/>
          <w:sz w:val="36"/>
          <w:szCs w:val="36"/>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spacing w:line="600" w:lineRule="exact"/>
        <w:ind w:firstLine="640" w:firstLineChars="200"/>
        <w:rPr>
          <w:rFonts w:eastAsia="黑体"/>
          <w:sz w:val="32"/>
          <w:szCs w:val="32"/>
        </w:rPr>
      </w:pPr>
      <w:r>
        <w:rPr>
          <w:rFonts w:eastAsia="黑体"/>
          <w:sz w:val="32"/>
          <w:szCs w:val="32"/>
        </w:rPr>
        <w:t>一、基本情况</w:t>
      </w:r>
    </w:p>
    <w:p>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lang w:val="en-US" w:eastAsia="zh-CN"/>
        </w:rPr>
        <w:t>单位</w:t>
      </w:r>
      <w:r>
        <w:rPr>
          <w:rFonts w:eastAsia="楷体_GB2312"/>
          <w:b/>
          <w:sz w:val="32"/>
          <w:szCs w:val="32"/>
        </w:rPr>
        <w:t>基本情况</w:t>
      </w:r>
    </w:p>
    <w:p>
      <w:pPr>
        <w:spacing w:line="600"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江永县粗石江镇中心</w:t>
      </w:r>
      <w:r>
        <w:rPr>
          <w:rFonts w:hint="eastAsia" w:ascii="宋体" w:hAnsi="宋体" w:cs="宋体"/>
          <w:sz w:val="28"/>
          <w:szCs w:val="28"/>
          <w:lang w:val="en-US" w:eastAsia="zh-CN"/>
        </w:rPr>
        <w:t>幼儿园</w:t>
      </w:r>
      <w:r>
        <w:rPr>
          <w:rFonts w:hint="eastAsia" w:ascii="宋体" w:hAnsi="宋体" w:eastAsia="宋体" w:cs="宋体"/>
          <w:sz w:val="28"/>
          <w:szCs w:val="28"/>
          <w:lang w:val="en-US" w:eastAsia="zh-CN"/>
        </w:rPr>
        <w:t>位于江永县最西端的粗石江镇上，由本部、城下</w:t>
      </w:r>
      <w:r>
        <w:rPr>
          <w:rFonts w:hint="eastAsia" w:ascii="宋体" w:hAnsi="宋体" w:cs="宋体"/>
          <w:sz w:val="28"/>
          <w:szCs w:val="28"/>
          <w:lang w:val="en-US" w:eastAsia="zh-CN"/>
        </w:rPr>
        <w:t>村小幼儿园</w:t>
      </w:r>
      <w:r>
        <w:rPr>
          <w:rFonts w:hint="eastAsia" w:ascii="宋体" w:hAnsi="宋体" w:eastAsia="宋体" w:cs="宋体"/>
          <w:sz w:val="28"/>
          <w:szCs w:val="28"/>
          <w:lang w:val="en-US" w:eastAsia="zh-CN"/>
        </w:rPr>
        <w:t>、黄金山完小</w:t>
      </w:r>
      <w:r>
        <w:rPr>
          <w:rFonts w:hint="eastAsia" w:ascii="宋体" w:hAnsi="宋体" w:cs="宋体"/>
          <w:sz w:val="28"/>
          <w:szCs w:val="28"/>
          <w:lang w:val="en-US" w:eastAsia="zh-CN"/>
        </w:rPr>
        <w:t>幼儿园</w:t>
      </w:r>
      <w:r>
        <w:rPr>
          <w:rFonts w:hint="eastAsia" w:ascii="宋体" w:hAnsi="宋体" w:eastAsia="宋体" w:cs="宋体"/>
          <w:sz w:val="28"/>
          <w:szCs w:val="28"/>
          <w:lang w:val="en-US" w:eastAsia="zh-CN"/>
        </w:rPr>
        <w:t>、清溪源</w:t>
      </w:r>
      <w:r>
        <w:rPr>
          <w:rFonts w:hint="eastAsia" w:ascii="宋体" w:hAnsi="宋体" w:cs="宋体"/>
          <w:sz w:val="28"/>
          <w:szCs w:val="28"/>
          <w:lang w:val="en-US" w:eastAsia="zh-CN"/>
        </w:rPr>
        <w:t>小学幼儿园4</w:t>
      </w:r>
      <w:r>
        <w:rPr>
          <w:rFonts w:hint="eastAsia" w:ascii="宋体" w:hAnsi="宋体" w:eastAsia="宋体" w:cs="宋体"/>
          <w:sz w:val="28"/>
          <w:szCs w:val="28"/>
          <w:lang w:val="en-US" w:eastAsia="zh-CN"/>
        </w:rPr>
        <w:t>所</w:t>
      </w:r>
      <w:r>
        <w:rPr>
          <w:rFonts w:hint="eastAsia" w:ascii="宋体" w:hAnsi="宋体" w:cs="宋体"/>
          <w:sz w:val="28"/>
          <w:szCs w:val="28"/>
          <w:lang w:val="en-US" w:eastAsia="zh-CN"/>
        </w:rPr>
        <w:t>幼儿园</w:t>
      </w:r>
      <w:r>
        <w:rPr>
          <w:rFonts w:hint="eastAsia" w:ascii="宋体" w:hAnsi="宋体" w:eastAsia="宋体" w:cs="宋体"/>
          <w:sz w:val="28"/>
          <w:szCs w:val="28"/>
          <w:lang w:val="en-US" w:eastAsia="zh-CN"/>
        </w:rPr>
        <w:t>构成，现有</w:t>
      </w:r>
      <w:r>
        <w:rPr>
          <w:rFonts w:hint="eastAsia" w:ascii="宋体" w:hAnsi="宋体" w:cs="宋体"/>
          <w:sz w:val="28"/>
          <w:szCs w:val="28"/>
          <w:lang w:val="en-US" w:eastAsia="zh-CN"/>
        </w:rPr>
        <w:t>11</w:t>
      </w:r>
      <w:r>
        <w:rPr>
          <w:rFonts w:hint="eastAsia" w:ascii="宋体" w:hAnsi="宋体" w:eastAsia="宋体" w:cs="宋体"/>
          <w:sz w:val="28"/>
          <w:szCs w:val="28"/>
          <w:lang w:val="en-US" w:eastAsia="zh-CN"/>
        </w:rPr>
        <w:t>个教学班，</w:t>
      </w:r>
      <w:r>
        <w:rPr>
          <w:rFonts w:hint="eastAsia" w:ascii="宋体" w:hAnsi="宋体" w:cs="宋体"/>
          <w:sz w:val="28"/>
          <w:szCs w:val="28"/>
          <w:lang w:val="en-US" w:eastAsia="zh-CN"/>
        </w:rPr>
        <w:t>255</w:t>
      </w:r>
      <w:r>
        <w:rPr>
          <w:rFonts w:hint="eastAsia" w:ascii="宋体" w:hAnsi="宋体" w:eastAsia="宋体" w:cs="宋体"/>
          <w:sz w:val="28"/>
          <w:szCs w:val="28"/>
          <w:lang w:val="en-US" w:eastAsia="zh-CN"/>
        </w:rPr>
        <w:t>名学生，全校在职教师</w:t>
      </w:r>
      <w:r>
        <w:rPr>
          <w:rFonts w:hint="eastAsia" w:ascii="宋体" w:hAnsi="宋体" w:cs="宋体"/>
          <w:sz w:val="28"/>
          <w:szCs w:val="28"/>
          <w:lang w:val="en-US" w:eastAsia="zh-CN"/>
        </w:rPr>
        <w:t>31</w:t>
      </w:r>
      <w:r>
        <w:rPr>
          <w:rFonts w:hint="eastAsia" w:ascii="宋体" w:hAnsi="宋体" w:eastAsia="宋体" w:cs="宋体"/>
          <w:sz w:val="28"/>
          <w:szCs w:val="28"/>
          <w:lang w:val="en-US" w:eastAsia="zh-CN"/>
        </w:rPr>
        <w:t>名：其中在编人员</w:t>
      </w:r>
      <w:r>
        <w:rPr>
          <w:rFonts w:hint="eastAsia" w:ascii="宋体" w:hAnsi="宋体" w:cs="宋体"/>
          <w:sz w:val="28"/>
          <w:szCs w:val="28"/>
          <w:lang w:val="en-US" w:eastAsia="zh-CN"/>
        </w:rPr>
        <w:t>20</w:t>
      </w:r>
      <w:r>
        <w:rPr>
          <w:rFonts w:hint="eastAsia" w:ascii="宋体" w:hAnsi="宋体" w:eastAsia="宋体" w:cs="宋体"/>
          <w:sz w:val="28"/>
          <w:szCs w:val="28"/>
          <w:lang w:val="en-US" w:eastAsia="zh-CN"/>
        </w:rPr>
        <w:t>人，临聘人员1</w:t>
      </w:r>
      <w:r>
        <w:rPr>
          <w:rFonts w:hint="eastAsia" w:ascii="宋体" w:hAnsi="宋体" w:cs="宋体"/>
          <w:sz w:val="28"/>
          <w:szCs w:val="28"/>
          <w:lang w:val="en-US" w:eastAsia="zh-CN"/>
        </w:rPr>
        <w:t>1</w:t>
      </w:r>
      <w:r>
        <w:rPr>
          <w:rFonts w:hint="eastAsia" w:ascii="宋体" w:hAnsi="宋体" w:eastAsia="宋体" w:cs="宋体"/>
          <w:sz w:val="28"/>
          <w:szCs w:val="28"/>
          <w:lang w:val="en-US" w:eastAsia="zh-CN"/>
        </w:rPr>
        <w:t>人。主要职能：实施</w:t>
      </w:r>
      <w:r>
        <w:rPr>
          <w:rFonts w:hint="eastAsia" w:ascii="宋体" w:hAnsi="宋体" w:cs="宋体"/>
          <w:sz w:val="28"/>
          <w:szCs w:val="28"/>
          <w:lang w:val="en-US" w:eastAsia="zh-CN"/>
        </w:rPr>
        <w:t>幼儿保育、教育</w:t>
      </w:r>
      <w:r>
        <w:rPr>
          <w:rFonts w:hint="eastAsia" w:ascii="宋体" w:hAnsi="宋体" w:eastAsia="宋体" w:cs="宋体"/>
          <w:sz w:val="28"/>
          <w:szCs w:val="28"/>
          <w:lang w:val="en-US" w:eastAsia="zh-CN"/>
        </w:rPr>
        <w:t>。</w:t>
      </w:r>
    </w:p>
    <w:p>
      <w:pPr>
        <w:numPr>
          <w:ilvl w:val="0"/>
          <w:numId w:val="1"/>
        </w:numPr>
        <w:spacing w:line="600" w:lineRule="exact"/>
        <w:ind w:firstLine="643" w:firstLineChars="200"/>
        <w:rPr>
          <w:rFonts w:eastAsia="楷体_GB2312"/>
          <w:b/>
          <w:sz w:val="32"/>
          <w:szCs w:val="32"/>
        </w:rPr>
      </w:pPr>
      <w:r>
        <w:rPr>
          <w:rFonts w:hint="eastAsia" w:eastAsia="楷体_GB2312"/>
          <w:b/>
          <w:sz w:val="32"/>
          <w:szCs w:val="32"/>
          <w:lang w:val="en-US" w:eastAsia="zh-CN"/>
        </w:rPr>
        <w:t>单位</w:t>
      </w:r>
      <w:r>
        <w:rPr>
          <w:rFonts w:eastAsia="楷体_GB2312"/>
          <w:b/>
          <w:sz w:val="32"/>
          <w:szCs w:val="32"/>
        </w:rPr>
        <w:t>年度整体支出绩效目标</w:t>
      </w:r>
    </w:p>
    <w:p>
      <w:pPr>
        <w:numPr>
          <w:ilvl w:val="0"/>
          <w:numId w:val="0"/>
        </w:numPr>
        <w:spacing w:line="600" w:lineRule="exact"/>
        <w:rPr>
          <w:rFonts w:hint="default" w:ascii="宋体" w:hAnsi="宋体" w:eastAsia="宋体" w:cs="宋体"/>
          <w:sz w:val="28"/>
          <w:szCs w:val="28"/>
          <w:lang w:val="en-US" w:eastAsia="zh-CN"/>
        </w:rPr>
      </w:pPr>
      <w:r>
        <w:rPr>
          <w:rFonts w:hint="eastAsia" w:eastAsia="楷体_GB2312"/>
          <w:b/>
          <w:sz w:val="32"/>
          <w:szCs w:val="32"/>
          <w:lang w:val="en-US" w:eastAsia="zh-CN"/>
        </w:rPr>
        <w:t xml:space="preserve">  </w:t>
      </w:r>
      <w:r>
        <w:rPr>
          <w:rFonts w:hint="eastAsia" w:eastAsia="楷体_GB2312"/>
          <w:b w:val="0"/>
          <w:bCs/>
          <w:sz w:val="32"/>
          <w:szCs w:val="32"/>
          <w:lang w:val="en-US" w:eastAsia="zh-CN"/>
        </w:rPr>
        <w:t xml:space="preserve">  </w:t>
      </w:r>
      <w:r>
        <w:rPr>
          <w:rFonts w:hint="eastAsia" w:ascii="宋体" w:hAnsi="宋体" w:eastAsia="宋体" w:cs="宋体"/>
          <w:sz w:val="28"/>
          <w:szCs w:val="28"/>
          <w:lang w:val="en-US" w:eastAsia="zh-CN"/>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pPr>
        <w:pStyle w:val="5"/>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5"/>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numPr>
          <w:ilvl w:val="0"/>
          <w:numId w:val="0"/>
        </w:num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2023年年度</w:t>
      </w:r>
      <w:r>
        <w:rPr>
          <w:rFonts w:hint="eastAsia" w:ascii="仿宋_GB2312" w:hAnsi="仿宋_GB2312" w:eastAsia="仿宋_GB2312" w:cs="仿宋_GB2312"/>
          <w:kern w:val="0"/>
          <w:sz w:val="32"/>
          <w:szCs w:val="32"/>
        </w:rPr>
        <w:t>基本</w:t>
      </w:r>
      <w:r>
        <w:rPr>
          <w:rFonts w:hint="eastAsia" w:ascii="仿宋_GB2312" w:hAnsi="仿宋_GB2312" w:eastAsia="仿宋_GB2312" w:cs="仿宋_GB2312"/>
          <w:kern w:val="0"/>
          <w:sz w:val="32"/>
          <w:szCs w:val="32"/>
          <w:lang w:val="en-US" w:eastAsia="zh-CN"/>
        </w:rPr>
        <w:t>支出</w:t>
      </w:r>
      <w:r>
        <w:rPr>
          <w:rFonts w:hint="eastAsia" w:ascii="宋体" w:hAnsi="宋体" w:eastAsia="宋体" w:cs="宋体"/>
          <w:sz w:val="28"/>
          <w:szCs w:val="28"/>
          <w:lang w:val="en-US" w:eastAsia="zh-CN"/>
        </w:rPr>
        <w:t>预算安排</w:t>
      </w:r>
      <w:r>
        <w:rPr>
          <w:rFonts w:hint="eastAsia" w:ascii="宋体" w:hAnsi="宋体" w:cs="宋体"/>
          <w:sz w:val="28"/>
          <w:szCs w:val="28"/>
          <w:lang w:val="en-US" w:eastAsia="zh-CN"/>
        </w:rPr>
        <w:t>275.7</w:t>
      </w:r>
      <w:r>
        <w:rPr>
          <w:rFonts w:hint="eastAsia" w:ascii="宋体" w:hAnsi="宋体" w:eastAsia="宋体" w:cs="宋体"/>
          <w:sz w:val="28"/>
          <w:szCs w:val="28"/>
          <w:lang w:val="en-US" w:eastAsia="zh-CN"/>
        </w:rPr>
        <w:t>万元，实际拨入</w:t>
      </w:r>
      <w:r>
        <w:rPr>
          <w:rFonts w:hint="eastAsia" w:ascii="宋体" w:hAnsi="宋体" w:cs="宋体"/>
          <w:sz w:val="28"/>
          <w:szCs w:val="28"/>
          <w:lang w:val="en-US" w:eastAsia="zh-CN"/>
        </w:rPr>
        <w:t>275.7</w:t>
      </w:r>
      <w:r>
        <w:rPr>
          <w:rFonts w:hint="eastAsia" w:ascii="宋体" w:hAnsi="宋体" w:eastAsia="宋体" w:cs="宋体"/>
          <w:sz w:val="28"/>
          <w:szCs w:val="28"/>
          <w:lang w:val="en-US" w:eastAsia="zh-CN"/>
        </w:rPr>
        <w:t>万元，其中人员经费</w:t>
      </w:r>
      <w:r>
        <w:rPr>
          <w:rFonts w:hint="eastAsia" w:ascii="宋体" w:hAnsi="宋体" w:cs="宋体"/>
          <w:sz w:val="28"/>
          <w:szCs w:val="28"/>
          <w:lang w:val="en-US" w:eastAsia="zh-CN"/>
        </w:rPr>
        <w:t>241.5</w:t>
      </w:r>
      <w:r>
        <w:rPr>
          <w:rFonts w:hint="eastAsia" w:ascii="宋体" w:hAnsi="宋体" w:eastAsia="宋体" w:cs="宋体"/>
          <w:sz w:val="28"/>
          <w:szCs w:val="28"/>
          <w:lang w:val="en-US" w:eastAsia="zh-CN"/>
        </w:rPr>
        <w:t>万元，公用经费</w:t>
      </w:r>
      <w:r>
        <w:rPr>
          <w:rFonts w:hint="eastAsia" w:ascii="宋体" w:hAnsi="宋体" w:cs="宋体"/>
          <w:sz w:val="28"/>
          <w:szCs w:val="28"/>
          <w:lang w:val="en-US" w:eastAsia="zh-CN"/>
        </w:rPr>
        <w:t>34.2</w:t>
      </w:r>
      <w:r>
        <w:rPr>
          <w:rFonts w:hint="eastAsia" w:ascii="宋体" w:hAnsi="宋体" w:eastAsia="宋体" w:cs="宋体"/>
          <w:sz w:val="28"/>
          <w:szCs w:val="28"/>
          <w:lang w:val="en-US" w:eastAsia="zh-CN"/>
        </w:rPr>
        <w:t>万元。</w:t>
      </w:r>
    </w:p>
    <w:p>
      <w:pPr>
        <w:numPr>
          <w:ilvl w:val="0"/>
          <w:numId w:val="0"/>
        </w:num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2023年江永县粗石江镇中心</w:t>
      </w:r>
      <w:r>
        <w:rPr>
          <w:rFonts w:hint="eastAsia" w:ascii="宋体" w:hAnsi="宋体" w:cs="宋体"/>
          <w:sz w:val="28"/>
          <w:szCs w:val="28"/>
          <w:lang w:val="en-US" w:eastAsia="zh-CN"/>
        </w:rPr>
        <w:t>幼儿园</w:t>
      </w:r>
      <w:r>
        <w:rPr>
          <w:rFonts w:hint="eastAsia" w:ascii="宋体" w:hAnsi="宋体" w:eastAsia="宋体" w:cs="宋体"/>
          <w:sz w:val="28"/>
          <w:szCs w:val="28"/>
          <w:lang w:val="en-US" w:eastAsia="zh-CN"/>
        </w:rPr>
        <w:t>用于单位正常运转及人员经费共</w:t>
      </w:r>
      <w:r>
        <w:rPr>
          <w:rFonts w:hint="eastAsia" w:ascii="宋体" w:hAnsi="宋体" w:cs="宋体"/>
          <w:sz w:val="28"/>
          <w:szCs w:val="28"/>
          <w:lang w:val="en-US" w:eastAsia="zh-CN"/>
        </w:rPr>
        <w:t>275.7</w:t>
      </w:r>
      <w:r>
        <w:rPr>
          <w:rFonts w:hint="eastAsia" w:ascii="宋体" w:hAnsi="宋体" w:eastAsia="宋体" w:cs="宋体"/>
          <w:sz w:val="28"/>
          <w:szCs w:val="28"/>
          <w:lang w:val="en-US" w:eastAsia="zh-CN"/>
        </w:rPr>
        <w:t>万元，其中人员支出（含基本工资、绩效津补贴、社保）共</w:t>
      </w:r>
      <w:r>
        <w:rPr>
          <w:rFonts w:hint="eastAsia" w:ascii="宋体" w:hAnsi="宋体" w:cs="宋体"/>
          <w:sz w:val="28"/>
          <w:szCs w:val="28"/>
          <w:lang w:val="en-US" w:eastAsia="zh-CN"/>
        </w:rPr>
        <w:t>241</w:t>
      </w:r>
      <w:r>
        <w:rPr>
          <w:rFonts w:hint="eastAsia" w:ascii="宋体" w:hAnsi="宋体" w:eastAsia="宋体" w:cs="宋体"/>
          <w:sz w:val="28"/>
          <w:szCs w:val="28"/>
          <w:lang w:val="en-US" w:eastAsia="zh-CN"/>
        </w:rPr>
        <w:t>万元，机构正常运转经费</w:t>
      </w:r>
      <w:r>
        <w:rPr>
          <w:rFonts w:hint="eastAsia" w:ascii="宋体" w:hAnsi="宋体" w:cs="宋体"/>
          <w:sz w:val="28"/>
          <w:szCs w:val="28"/>
          <w:lang w:val="en-US" w:eastAsia="zh-CN"/>
        </w:rPr>
        <w:t>32.4</w:t>
      </w:r>
      <w:r>
        <w:rPr>
          <w:rFonts w:hint="eastAsia" w:ascii="宋体" w:hAnsi="宋体" w:eastAsia="宋体" w:cs="宋体"/>
          <w:sz w:val="28"/>
          <w:szCs w:val="28"/>
          <w:lang w:val="en-US" w:eastAsia="zh-CN"/>
        </w:rPr>
        <w:t>万元。其中办公费</w:t>
      </w:r>
      <w:r>
        <w:rPr>
          <w:rFonts w:hint="eastAsia" w:ascii="宋体" w:hAnsi="宋体" w:cs="宋体"/>
          <w:sz w:val="28"/>
          <w:szCs w:val="28"/>
          <w:lang w:val="en-US" w:eastAsia="zh-CN"/>
        </w:rPr>
        <w:t>21.13</w:t>
      </w:r>
      <w:r>
        <w:rPr>
          <w:rFonts w:hint="eastAsia" w:ascii="宋体" w:hAnsi="宋体" w:eastAsia="宋体" w:cs="宋体"/>
          <w:sz w:val="28"/>
          <w:szCs w:val="28"/>
          <w:lang w:val="en-US" w:eastAsia="zh-CN"/>
        </w:rPr>
        <w:t>万元；培训费</w:t>
      </w:r>
      <w:r>
        <w:rPr>
          <w:rFonts w:hint="eastAsia" w:ascii="宋体" w:hAnsi="宋体" w:cs="宋体"/>
          <w:sz w:val="28"/>
          <w:szCs w:val="28"/>
          <w:lang w:val="en-US" w:eastAsia="zh-CN"/>
        </w:rPr>
        <w:t>0.58</w:t>
      </w:r>
      <w:r>
        <w:rPr>
          <w:rFonts w:hint="eastAsia" w:ascii="宋体" w:hAnsi="宋体" w:eastAsia="宋体" w:cs="宋体"/>
          <w:sz w:val="28"/>
          <w:szCs w:val="28"/>
          <w:lang w:val="en-US" w:eastAsia="zh-CN"/>
        </w:rPr>
        <w:t>万元；水电费</w:t>
      </w:r>
      <w:r>
        <w:rPr>
          <w:rFonts w:hint="eastAsia" w:ascii="宋体" w:hAnsi="宋体" w:cs="宋体"/>
          <w:sz w:val="28"/>
          <w:szCs w:val="28"/>
          <w:lang w:val="en-US" w:eastAsia="zh-CN"/>
        </w:rPr>
        <w:t>2.35</w:t>
      </w:r>
      <w:r>
        <w:rPr>
          <w:rFonts w:hint="eastAsia" w:ascii="宋体" w:hAnsi="宋体" w:eastAsia="宋体" w:cs="宋体"/>
          <w:sz w:val="28"/>
          <w:szCs w:val="28"/>
          <w:lang w:val="en-US" w:eastAsia="zh-CN"/>
        </w:rPr>
        <w:t>万元；差旅费</w:t>
      </w:r>
      <w:r>
        <w:rPr>
          <w:rFonts w:hint="eastAsia" w:ascii="宋体" w:hAnsi="宋体" w:cs="宋体"/>
          <w:sz w:val="28"/>
          <w:szCs w:val="28"/>
          <w:lang w:val="en-US" w:eastAsia="zh-CN"/>
        </w:rPr>
        <w:t>1.38</w:t>
      </w:r>
      <w:r>
        <w:rPr>
          <w:rFonts w:hint="eastAsia" w:ascii="宋体" w:hAnsi="宋体" w:eastAsia="宋体" w:cs="宋体"/>
          <w:sz w:val="28"/>
          <w:szCs w:val="28"/>
          <w:lang w:val="en-US" w:eastAsia="zh-CN"/>
        </w:rPr>
        <w:t>万元；等</w:t>
      </w:r>
    </w:p>
    <w:p>
      <w:pPr>
        <w:pStyle w:val="5"/>
        <w:spacing w:line="600" w:lineRule="exact"/>
        <w:ind w:firstLine="643"/>
        <w:rPr>
          <w:rFonts w:ascii="Times New Roman" w:hAnsi="Times New Roman" w:eastAsia="楷体_GB2312"/>
          <w:b/>
          <w:sz w:val="32"/>
          <w:szCs w:val="32"/>
        </w:rPr>
      </w:pPr>
    </w:p>
    <w:p>
      <w:pPr>
        <w:pStyle w:val="5"/>
        <w:spacing w:line="600" w:lineRule="exact"/>
        <w:ind w:firstLine="643"/>
        <w:rPr>
          <w:rFonts w:ascii="Times New Roman" w:hAnsi="Times New Roman" w:eastAsia="楷体_GB2312"/>
          <w:b/>
          <w:sz w:val="32"/>
          <w:szCs w:val="32"/>
        </w:rPr>
      </w:pPr>
    </w:p>
    <w:p>
      <w:pPr>
        <w:pStyle w:val="5"/>
        <w:numPr>
          <w:ilvl w:val="0"/>
          <w:numId w:val="2"/>
        </w:numPr>
        <w:spacing w:line="600" w:lineRule="exact"/>
        <w:ind w:left="0" w:leftChars="0" w:firstLine="643" w:firstLineChars="200"/>
        <w:rPr>
          <w:rFonts w:ascii="Times New Roman" w:hAnsi="Times New Roman" w:eastAsia="楷体_GB2312"/>
          <w:b/>
          <w:sz w:val="32"/>
          <w:szCs w:val="32"/>
        </w:rPr>
      </w:pPr>
      <w:r>
        <w:rPr>
          <w:rFonts w:ascii="Times New Roman" w:hAnsi="Times New Roman" w:eastAsia="楷体_GB2312"/>
          <w:b/>
          <w:sz w:val="32"/>
          <w:szCs w:val="32"/>
        </w:rPr>
        <w:t>项目支出情况</w:t>
      </w:r>
    </w:p>
    <w:p>
      <w:pPr>
        <w:pStyle w:val="5"/>
        <w:numPr>
          <w:ilvl w:val="0"/>
          <w:numId w:val="0"/>
        </w:numPr>
        <w:spacing w:line="600" w:lineRule="exact"/>
        <w:ind w:leftChars="200"/>
        <w:rPr>
          <w:rFonts w:hint="eastAsia" w:ascii="Times New Roman" w:hAnsi="Times New Roman" w:eastAsia="楷体_GB2312"/>
          <w:b/>
          <w:sz w:val="32"/>
          <w:szCs w:val="32"/>
          <w:lang w:val="en-US" w:eastAsia="zh-CN"/>
        </w:rPr>
      </w:pPr>
      <w:r>
        <w:rPr>
          <w:rFonts w:hint="eastAsia" w:ascii="Times New Roman" w:hAnsi="Times New Roman" w:eastAsia="楷体_GB2312"/>
          <w:b/>
          <w:sz w:val="32"/>
          <w:szCs w:val="32"/>
          <w:lang w:val="en-US" w:eastAsia="zh-CN"/>
        </w:rPr>
        <w:t xml:space="preserve">     无</w:t>
      </w:r>
    </w:p>
    <w:p>
      <w:pPr>
        <w:pStyle w:val="5"/>
        <w:numPr>
          <w:ilvl w:val="0"/>
          <w:numId w:val="3"/>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pStyle w:val="5"/>
        <w:spacing w:line="600" w:lineRule="exact"/>
        <w:ind w:firstLine="1280" w:firstLineChars="400"/>
        <w:rPr>
          <w:rFonts w:hint="eastAsia" w:ascii="Times New Roman" w:hAnsi="Times New Roman" w:eastAsia="楷体_GB2312"/>
          <w:b w:val="0"/>
          <w:bCs/>
          <w:sz w:val="32"/>
          <w:szCs w:val="32"/>
          <w:lang w:val="en-US" w:eastAsia="zh-CN"/>
        </w:rPr>
      </w:pPr>
      <w:r>
        <w:rPr>
          <w:rFonts w:hint="eastAsia" w:ascii="Times New Roman" w:hAnsi="Times New Roman" w:eastAsia="楷体_GB2312"/>
          <w:b w:val="0"/>
          <w:bCs/>
          <w:sz w:val="32"/>
          <w:szCs w:val="32"/>
          <w:lang w:val="en-US" w:eastAsia="zh-CN"/>
        </w:rPr>
        <w:t>无</w:t>
      </w:r>
    </w:p>
    <w:p>
      <w:pPr>
        <w:pStyle w:val="5"/>
        <w:numPr>
          <w:ilvl w:val="0"/>
          <w:numId w:val="3"/>
        </w:numPr>
        <w:spacing w:line="600" w:lineRule="exact"/>
        <w:ind w:left="0" w:leftChars="0" w:firstLine="640" w:firstLineChars="200"/>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5"/>
        <w:spacing w:line="600" w:lineRule="exact"/>
        <w:ind w:firstLine="1280" w:firstLineChars="400"/>
        <w:rPr>
          <w:rFonts w:ascii="Times New Roman" w:hAnsi="Times New Roman" w:eastAsia="黑体"/>
          <w:sz w:val="32"/>
          <w:szCs w:val="32"/>
        </w:rPr>
      </w:pPr>
      <w:r>
        <w:rPr>
          <w:rFonts w:hint="eastAsia" w:ascii="Times New Roman" w:hAnsi="Times New Roman" w:eastAsia="楷体_GB2312"/>
          <w:b w:val="0"/>
          <w:bCs/>
          <w:sz w:val="32"/>
          <w:szCs w:val="32"/>
          <w:lang w:val="en-US" w:eastAsia="zh-CN"/>
        </w:rPr>
        <w:t>无</w:t>
      </w:r>
    </w:p>
    <w:p>
      <w:pPr>
        <w:pStyle w:val="5"/>
        <w:numPr>
          <w:ilvl w:val="0"/>
          <w:numId w:val="3"/>
        </w:numPr>
        <w:spacing w:line="600" w:lineRule="exact"/>
        <w:ind w:left="0" w:leftChars="0" w:firstLine="640" w:firstLineChars="200"/>
        <w:rPr>
          <w:rFonts w:hint="eastAsia" w:ascii="Times New Roman" w:hAnsi="Times New Roman" w:eastAsia="黑体"/>
          <w:sz w:val="32"/>
          <w:szCs w:val="32"/>
          <w:lang w:val="en-US" w:eastAsia="zh-CN"/>
        </w:rPr>
      </w:pPr>
      <w:r>
        <w:rPr>
          <w:rFonts w:ascii="Times New Roman" w:hAnsi="Times New Roman" w:eastAsia="黑体"/>
          <w:sz w:val="32"/>
          <w:szCs w:val="32"/>
        </w:rPr>
        <w:t>社会保险基金预算支出情况</w:t>
      </w:r>
      <w:r>
        <w:rPr>
          <w:rFonts w:hint="eastAsia" w:ascii="Times New Roman" w:hAnsi="Times New Roman" w:eastAsia="黑体"/>
          <w:sz w:val="32"/>
          <w:szCs w:val="32"/>
          <w:lang w:val="en-US" w:eastAsia="zh-CN"/>
        </w:rPr>
        <w:t xml:space="preserve"> </w:t>
      </w:r>
    </w:p>
    <w:p>
      <w:pPr>
        <w:pStyle w:val="5"/>
        <w:numPr>
          <w:ilvl w:val="0"/>
          <w:numId w:val="0"/>
        </w:numPr>
        <w:spacing w:line="600" w:lineRule="exact"/>
        <w:ind w:leftChars="200"/>
        <w:rPr>
          <w:rFonts w:hint="default" w:ascii="宋体" w:hAnsi="宋体" w:eastAsia="宋体" w:cs="宋体"/>
          <w:kern w:val="2"/>
          <w:sz w:val="28"/>
          <w:szCs w:val="28"/>
          <w:lang w:val="en-US" w:eastAsia="zh-CN" w:bidi="ar-SA"/>
        </w:rPr>
      </w:pPr>
      <w:r>
        <w:rPr>
          <w:rFonts w:hint="eastAsia" w:ascii="Times New Roman" w:hAnsi="Times New Roman" w:eastAsia="黑体"/>
          <w:sz w:val="32"/>
          <w:szCs w:val="32"/>
          <w:lang w:val="en-US" w:eastAsia="zh-CN"/>
        </w:rPr>
        <w:t xml:space="preserve">   </w:t>
      </w:r>
      <w:r>
        <w:rPr>
          <w:rFonts w:hint="eastAsia" w:ascii="宋体" w:hAnsi="宋体" w:eastAsia="宋体" w:cs="宋体"/>
          <w:kern w:val="2"/>
          <w:sz w:val="28"/>
          <w:szCs w:val="28"/>
          <w:lang w:val="en-US" w:eastAsia="zh-CN" w:bidi="ar-SA"/>
        </w:rPr>
        <w:t>2023年机关事业单位基本养老保险缴费支出</w:t>
      </w:r>
      <w:r>
        <w:rPr>
          <w:rFonts w:hint="eastAsia" w:ascii="宋体" w:hAnsi="宋体" w:cs="宋体"/>
          <w:kern w:val="2"/>
          <w:sz w:val="28"/>
          <w:szCs w:val="28"/>
          <w:lang w:val="en-US" w:eastAsia="zh-CN" w:bidi="ar-SA"/>
        </w:rPr>
        <w:t>16.84</w:t>
      </w:r>
      <w:r>
        <w:rPr>
          <w:rFonts w:hint="eastAsia" w:ascii="宋体" w:hAnsi="宋体" w:eastAsia="宋体" w:cs="宋体"/>
          <w:kern w:val="2"/>
          <w:sz w:val="28"/>
          <w:szCs w:val="28"/>
          <w:lang w:val="en-US" w:eastAsia="zh-CN" w:bidi="ar-SA"/>
        </w:rPr>
        <w:t>万元，职工基本医疗保险缴费支出</w:t>
      </w:r>
      <w:r>
        <w:rPr>
          <w:rFonts w:hint="eastAsia" w:ascii="宋体" w:hAnsi="宋体" w:cs="宋体"/>
          <w:kern w:val="2"/>
          <w:sz w:val="28"/>
          <w:szCs w:val="28"/>
          <w:lang w:val="en-US" w:eastAsia="zh-CN" w:bidi="ar-SA"/>
        </w:rPr>
        <w:t>8.16</w:t>
      </w:r>
      <w:r>
        <w:rPr>
          <w:rFonts w:hint="eastAsia" w:ascii="宋体" w:hAnsi="宋体" w:eastAsia="宋体" w:cs="宋体"/>
          <w:kern w:val="2"/>
          <w:sz w:val="28"/>
          <w:szCs w:val="28"/>
          <w:lang w:val="en-US" w:eastAsia="zh-CN" w:bidi="ar-SA"/>
        </w:rPr>
        <w:t>万元，其他社会保障缴费支出</w:t>
      </w:r>
      <w:r>
        <w:rPr>
          <w:rFonts w:hint="eastAsia" w:ascii="宋体" w:hAnsi="宋体" w:cs="宋体"/>
          <w:kern w:val="2"/>
          <w:sz w:val="28"/>
          <w:szCs w:val="28"/>
          <w:lang w:val="en-US" w:eastAsia="zh-CN" w:bidi="ar-SA"/>
        </w:rPr>
        <w:t>5.79</w:t>
      </w:r>
      <w:r>
        <w:rPr>
          <w:rFonts w:hint="eastAsia" w:ascii="宋体" w:hAnsi="宋体" w:eastAsia="宋体" w:cs="宋体"/>
          <w:kern w:val="2"/>
          <w:sz w:val="28"/>
          <w:szCs w:val="28"/>
          <w:lang w:val="en-US" w:eastAsia="zh-CN" w:bidi="ar-SA"/>
        </w:rPr>
        <w:t>万元。社会保险基金预算支出共计</w:t>
      </w:r>
      <w:r>
        <w:rPr>
          <w:rFonts w:hint="eastAsia" w:ascii="宋体" w:hAnsi="宋体" w:cs="宋体"/>
          <w:kern w:val="2"/>
          <w:sz w:val="28"/>
          <w:szCs w:val="28"/>
          <w:lang w:val="en-US" w:eastAsia="zh-CN" w:bidi="ar-SA"/>
        </w:rPr>
        <w:t>30.79</w:t>
      </w:r>
      <w:r>
        <w:rPr>
          <w:rFonts w:hint="eastAsia" w:ascii="宋体" w:hAnsi="宋体" w:eastAsia="宋体" w:cs="宋体"/>
          <w:kern w:val="2"/>
          <w:sz w:val="28"/>
          <w:szCs w:val="28"/>
          <w:lang w:val="en-US" w:eastAsia="zh-CN" w:bidi="ar-SA"/>
        </w:rPr>
        <w:t>万元</w:t>
      </w:r>
    </w:p>
    <w:p>
      <w:pPr>
        <w:spacing w:line="600" w:lineRule="exact"/>
        <w:ind w:firstLine="640" w:firstLineChars="200"/>
        <w:rPr>
          <w:rFonts w:eastAsia="黑体"/>
          <w:sz w:val="32"/>
          <w:szCs w:val="32"/>
        </w:rPr>
      </w:pPr>
      <w:r>
        <w:rPr>
          <w:rFonts w:eastAsia="黑体"/>
          <w:sz w:val="32"/>
          <w:szCs w:val="32"/>
        </w:rPr>
        <w:t>六、部门整体支出绩效情况</w:t>
      </w:r>
    </w:p>
    <w:p>
      <w:pPr>
        <w:pStyle w:val="2"/>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2023年，我单位积极履职，强化管理，较好地完成了年度工作目标。通过加强预算收支管理，不断建立健全内部管理制度，梳理内部管理流程，部门整体支出管理水平得到提升。根据部门整体支出绩效评价指标体系，我单位2023年度评价得分为98分。部门整体支出绩效情况中，部门资金使用率得分10分，其他分值如下：</w:t>
      </w:r>
    </w:p>
    <w:p>
      <w:pPr>
        <w:pStyle w:val="2"/>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p>
    <w:p>
      <w:pPr>
        <w:pStyle w:val="2"/>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p>
    <w:tbl>
      <w:tblPr>
        <w:tblStyle w:val="3"/>
        <w:tblW w:w="98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4"/>
        <w:gridCol w:w="1157"/>
        <w:gridCol w:w="1380"/>
        <w:gridCol w:w="2173"/>
        <w:gridCol w:w="1485"/>
        <w:gridCol w:w="1249"/>
        <w:gridCol w:w="772"/>
        <w:gridCol w:w="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i w:val="0"/>
                <w:color w:val="000000"/>
                <w:kern w:val="0"/>
                <w:sz w:val="20"/>
                <w:szCs w:val="20"/>
                <w:u w:val="none"/>
                <w:lang w:val="en-US" w:eastAsia="zh-CN" w:bidi="ar-SA"/>
              </w:rPr>
              <w:t>绩效指标</w:t>
            </w:r>
          </w:p>
        </w:tc>
        <w:tc>
          <w:tcPr>
            <w:tcW w:w="1157"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i w:val="0"/>
                <w:color w:val="000000"/>
                <w:kern w:val="0"/>
                <w:sz w:val="20"/>
                <w:szCs w:val="20"/>
                <w:u w:val="none"/>
                <w:lang w:val="en-US" w:eastAsia="zh-CN" w:bidi="ar-SA"/>
              </w:rPr>
              <w:t>一级指标</w:t>
            </w:r>
          </w:p>
        </w:tc>
        <w:tc>
          <w:tcPr>
            <w:tcW w:w="1380"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i w:val="0"/>
                <w:color w:val="000000"/>
                <w:kern w:val="0"/>
                <w:sz w:val="22"/>
                <w:szCs w:val="22"/>
                <w:u w:val="none"/>
                <w:lang w:val="en-US" w:eastAsia="zh-CN" w:bidi="ar-SA"/>
              </w:rPr>
              <w:t>二级指标</w:t>
            </w:r>
          </w:p>
        </w:tc>
        <w:tc>
          <w:tcPr>
            <w:tcW w:w="2173"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i w:val="0"/>
                <w:color w:val="000000"/>
                <w:kern w:val="0"/>
                <w:sz w:val="20"/>
                <w:szCs w:val="20"/>
                <w:u w:val="none"/>
                <w:lang w:val="en-US" w:eastAsia="zh-CN" w:bidi="ar-SA"/>
              </w:rPr>
              <w:t>三级指标</w:t>
            </w:r>
          </w:p>
        </w:tc>
        <w:tc>
          <w:tcPr>
            <w:tcW w:w="1485"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i w:val="0"/>
                <w:color w:val="000000"/>
                <w:kern w:val="0"/>
                <w:sz w:val="20"/>
                <w:szCs w:val="20"/>
                <w:u w:val="none"/>
                <w:lang w:val="en-US" w:eastAsia="zh-CN" w:bidi="ar-SA"/>
              </w:rPr>
              <w:t>年度指标值</w:t>
            </w:r>
          </w:p>
        </w:tc>
        <w:tc>
          <w:tcPr>
            <w:tcW w:w="1249"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i w:val="0"/>
                <w:color w:val="000000"/>
                <w:kern w:val="0"/>
                <w:sz w:val="20"/>
                <w:szCs w:val="20"/>
                <w:u w:val="none"/>
                <w:lang w:val="en-US" w:eastAsia="zh-CN" w:bidi="ar-SA"/>
              </w:rPr>
              <w:t>实际完成值</w:t>
            </w:r>
          </w:p>
        </w:tc>
        <w:tc>
          <w:tcPr>
            <w:tcW w:w="77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i w:val="0"/>
                <w:color w:val="000000"/>
                <w:kern w:val="0"/>
                <w:sz w:val="20"/>
                <w:szCs w:val="20"/>
                <w:u w:val="none"/>
                <w:lang w:val="en-US" w:eastAsia="zh-CN" w:bidi="ar-SA"/>
              </w:rPr>
              <w:t>分值</w:t>
            </w:r>
          </w:p>
        </w:tc>
        <w:tc>
          <w:tcPr>
            <w:tcW w:w="78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i w:val="0"/>
                <w:color w:val="000000"/>
                <w:kern w:val="0"/>
                <w:sz w:val="20"/>
                <w:szCs w:val="20"/>
                <w:u w:val="none"/>
                <w:lang w:val="en-US" w:eastAsia="zh-CN" w:bidi="ar-SA"/>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vAlign w:val="center"/>
          </w:tcPr>
          <w:p>
            <w:pPr>
              <w:jc w:val="center"/>
              <w:rPr>
                <w:rFonts w:hint="eastAsia" w:ascii="宋体" w:hAnsi="宋体" w:eastAsia="宋体" w:cs="宋体"/>
                <w:b/>
                <w:bCs/>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nil"/>
            </w:tcBorders>
            <w:vAlign w:val="center"/>
          </w:tcPr>
          <w:p>
            <w:pPr>
              <w:jc w:val="center"/>
              <w:rPr>
                <w:rFonts w:hint="eastAsia" w:ascii="宋体" w:hAnsi="宋体" w:eastAsia="宋体" w:cs="宋体"/>
                <w:b/>
                <w:bCs/>
                <w:i w:val="0"/>
                <w:iCs w:val="0"/>
                <w:color w:val="000000"/>
                <w:sz w:val="24"/>
                <w:szCs w:val="24"/>
                <w:u w:val="none"/>
              </w:rPr>
            </w:pPr>
          </w:p>
        </w:tc>
        <w:tc>
          <w:tcPr>
            <w:tcW w:w="217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24"/>
                <w:szCs w:val="24"/>
                <w:u w:val="none"/>
              </w:rPr>
            </w:pPr>
          </w:p>
        </w:tc>
        <w:tc>
          <w:tcPr>
            <w:tcW w:w="1485" w:type="dxa"/>
            <w:vMerge w:val="continue"/>
            <w:tcBorders>
              <w:top w:val="single" w:color="000000" w:sz="4" w:space="0"/>
              <w:left w:val="single" w:color="000000" w:sz="4" w:space="0"/>
              <w:bottom w:val="single" w:color="000000" w:sz="4" w:space="0"/>
              <w:right w:val="nil"/>
            </w:tcBorders>
            <w:vAlign w:val="center"/>
          </w:tcPr>
          <w:p>
            <w:pPr>
              <w:jc w:val="center"/>
              <w:rPr>
                <w:rFonts w:hint="eastAsia" w:ascii="宋体" w:hAnsi="宋体" w:eastAsia="宋体" w:cs="宋体"/>
                <w:b/>
                <w:bCs/>
                <w:i w:val="0"/>
                <w:iCs w:val="0"/>
                <w:color w:val="000000"/>
                <w:sz w:val="24"/>
                <w:szCs w:val="24"/>
                <w:u w:val="none"/>
              </w:rPr>
            </w:pPr>
          </w:p>
        </w:tc>
        <w:tc>
          <w:tcPr>
            <w:tcW w:w="1249" w:type="dxa"/>
            <w:vMerge w:val="continue"/>
            <w:tcBorders>
              <w:top w:val="single" w:color="000000" w:sz="4" w:space="0"/>
              <w:left w:val="single" w:color="000000" w:sz="4" w:space="0"/>
              <w:bottom w:val="single" w:color="000000" w:sz="4" w:space="0"/>
              <w:right w:val="nil"/>
            </w:tcBorders>
            <w:vAlign w:val="center"/>
          </w:tcPr>
          <w:p>
            <w:pPr>
              <w:jc w:val="center"/>
              <w:rPr>
                <w:rFonts w:hint="eastAsia" w:ascii="宋体" w:hAnsi="宋体" w:eastAsia="宋体" w:cs="宋体"/>
                <w:b/>
                <w:bCs/>
                <w:i w:val="0"/>
                <w:iCs w:val="0"/>
                <w:color w:val="000000"/>
                <w:sz w:val="24"/>
                <w:szCs w:val="24"/>
                <w:u w:val="none"/>
              </w:rPr>
            </w:pPr>
          </w:p>
        </w:tc>
        <w:tc>
          <w:tcPr>
            <w:tcW w:w="77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15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38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color w:val="000000"/>
                <w:kern w:val="0"/>
                <w:sz w:val="22"/>
                <w:szCs w:val="22"/>
                <w:u w:val="none"/>
                <w:lang w:val="en-US" w:eastAsia="zh-CN" w:bidi="ar-SA"/>
              </w:rPr>
              <w:t>数量指标</w:t>
            </w:r>
          </w:p>
        </w:tc>
        <w:tc>
          <w:tcPr>
            <w:tcW w:w="2173"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教师培训人次</w:t>
            </w:r>
          </w:p>
        </w:tc>
        <w:tc>
          <w:tcPr>
            <w:tcW w:w="1485"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2次</w:t>
            </w:r>
          </w:p>
        </w:tc>
        <w:tc>
          <w:tcPr>
            <w:tcW w:w="1249"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2次</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2173"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教师考核人数</w:t>
            </w:r>
          </w:p>
        </w:tc>
        <w:tc>
          <w:tcPr>
            <w:tcW w:w="1485"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20人</w:t>
            </w:r>
          </w:p>
        </w:tc>
        <w:tc>
          <w:tcPr>
            <w:tcW w:w="1249"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20人</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2173"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幼儿园学生人数</w:t>
            </w:r>
          </w:p>
        </w:tc>
        <w:tc>
          <w:tcPr>
            <w:tcW w:w="1485"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275人</w:t>
            </w:r>
          </w:p>
        </w:tc>
        <w:tc>
          <w:tcPr>
            <w:tcW w:w="1249"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275人</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i w:val="0"/>
                <w:iCs w:val="0"/>
                <w:color w:val="000000"/>
                <w:sz w:val="24"/>
                <w:szCs w:val="24"/>
                <w:u w:val="none"/>
                <w:lang w:val="en-US"/>
              </w:rPr>
            </w:pPr>
            <w:r>
              <w:rPr>
                <w:rFonts w:hint="eastAsia" w:ascii="仿宋_GB2312" w:hAnsi="宋体" w:eastAsia="仿宋_GB2312" w:cs="仿宋_GB2312"/>
                <w:i w:val="0"/>
                <w:color w:val="000000"/>
                <w:kern w:val="0"/>
                <w:sz w:val="20"/>
                <w:szCs w:val="20"/>
                <w:u w:val="none"/>
                <w:lang w:val="en-US" w:eastAsia="zh-CN" w:bidi="ar-SA"/>
              </w:rPr>
              <w:t>5</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宋体" w:hAnsi="宋体" w:eastAsia="宋体" w:cs="宋体"/>
                <w:i w:val="0"/>
                <w:iCs w:val="0"/>
                <w:color w:val="000000"/>
                <w:sz w:val="24"/>
                <w:szCs w:val="24"/>
                <w:u w:val="none"/>
                <w:lang w:val="en-US"/>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1380" w:type="dxa"/>
            <w:vMerge w:val="restart"/>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color w:val="000000"/>
                <w:kern w:val="0"/>
                <w:sz w:val="22"/>
                <w:szCs w:val="22"/>
                <w:u w:val="none"/>
                <w:lang w:val="en-US" w:eastAsia="zh-CN" w:bidi="ar-SA"/>
              </w:rPr>
              <w:t>质量指标</w:t>
            </w:r>
          </w:p>
        </w:tc>
        <w:tc>
          <w:tcPr>
            <w:tcW w:w="217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幼儿园系统完成率</w:t>
            </w:r>
          </w:p>
        </w:tc>
        <w:tc>
          <w:tcPr>
            <w:tcW w:w="14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124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2173" w:type="dxa"/>
            <w:tcBorders>
              <w:top w:val="single" w:color="000000" w:sz="4" w:space="0"/>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考核、培训完成率</w:t>
            </w:r>
          </w:p>
        </w:tc>
        <w:tc>
          <w:tcPr>
            <w:tcW w:w="1485" w:type="dxa"/>
            <w:tcBorders>
              <w:top w:val="single" w:color="000000" w:sz="4" w:space="0"/>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1249" w:type="dxa"/>
            <w:tcBorders>
              <w:top w:val="single" w:color="000000" w:sz="4" w:space="0"/>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2173"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资金使用率</w:t>
            </w:r>
          </w:p>
        </w:tc>
        <w:tc>
          <w:tcPr>
            <w:tcW w:w="1485"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1249"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宋体" w:hAnsi="宋体" w:eastAsia="宋体" w:cs="宋体"/>
                <w:i w:val="0"/>
                <w:iCs w:val="0"/>
                <w:color w:val="000000"/>
                <w:sz w:val="24"/>
                <w:szCs w:val="24"/>
                <w:u w:val="none"/>
                <w:lang w:val="en-US"/>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color w:val="000000"/>
                <w:kern w:val="0"/>
                <w:sz w:val="22"/>
                <w:szCs w:val="22"/>
                <w:u w:val="none"/>
                <w:lang w:val="en-US" w:eastAsia="zh-CN" w:bidi="ar-SA"/>
              </w:rPr>
              <w:t>时效指标</w:t>
            </w:r>
          </w:p>
        </w:tc>
        <w:tc>
          <w:tcPr>
            <w:tcW w:w="2173"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完成时间</w:t>
            </w:r>
          </w:p>
        </w:tc>
        <w:tc>
          <w:tcPr>
            <w:tcW w:w="1485"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2023年年内</w:t>
            </w:r>
          </w:p>
        </w:tc>
        <w:tc>
          <w:tcPr>
            <w:tcW w:w="1249"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2023年年内</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1157" w:type="dxa"/>
            <w:vMerge w:val="restart"/>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效益指标</w:t>
            </w:r>
          </w:p>
        </w:tc>
        <w:tc>
          <w:tcPr>
            <w:tcW w:w="1380"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color w:val="000000"/>
                <w:kern w:val="0"/>
                <w:sz w:val="22"/>
                <w:szCs w:val="22"/>
                <w:u w:val="none"/>
                <w:lang w:val="en-US" w:eastAsia="zh-CN" w:bidi="ar-SA"/>
              </w:rPr>
              <w:t>经济效益指标</w:t>
            </w:r>
          </w:p>
        </w:tc>
        <w:tc>
          <w:tcPr>
            <w:tcW w:w="2173"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提高幼师队伍生活质量</w:t>
            </w:r>
          </w:p>
        </w:tc>
        <w:tc>
          <w:tcPr>
            <w:tcW w:w="1485"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提高幼师队伍生活质量</w:t>
            </w:r>
          </w:p>
        </w:tc>
        <w:tc>
          <w:tcPr>
            <w:tcW w:w="1249"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提高幼师队伍生活质量</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10</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color w:val="000000"/>
                <w:kern w:val="0"/>
                <w:sz w:val="22"/>
                <w:szCs w:val="22"/>
                <w:u w:val="none"/>
                <w:lang w:val="en-US" w:eastAsia="zh-CN" w:bidi="ar-SA"/>
              </w:rPr>
              <w:t>社会效益指标</w:t>
            </w:r>
          </w:p>
        </w:tc>
        <w:tc>
          <w:tcPr>
            <w:tcW w:w="2173" w:type="dxa"/>
            <w:tcBorders>
              <w:top w:val="nil"/>
              <w:left w:val="single" w:color="000000" w:sz="4" w:space="0"/>
              <w:bottom w:val="nil"/>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促进全员师生全面发展</w:t>
            </w:r>
          </w:p>
        </w:tc>
        <w:tc>
          <w:tcPr>
            <w:tcW w:w="1485" w:type="dxa"/>
            <w:tcBorders>
              <w:top w:val="nil"/>
              <w:left w:val="single" w:color="000000" w:sz="4" w:space="0"/>
              <w:bottom w:val="nil"/>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促进全员师生全面发展</w:t>
            </w:r>
          </w:p>
        </w:tc>
        <w:tc>
          <w:tcPr>
            <w:tcW w:w="1249" w:type="dxa"/>
            <w:tcBorders>
              <w:top w:val="nil"/>
              <w:left w:val="single" w:color="000000" w:sz="4" w:space="0"/>
              <w:bottom w:val="nil"/>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促进全员师生全面发展</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10</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宋体" w:hAnsi="宋体" w:eastAsia="宋体" w:cs="宋体"/>
                <w:i w:val="0"/>
                <w:iCs w:val="0"/>
                <w:color w:val="000000"/>
                <w:sz w:val="24"/>
                <w:szCs w:val="24"/>
                <w:u w:val="none"/>
                <w:lang w:val="en-US"/>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vAlign w:val="center"/>
          </w:tcPr>
          <w:p>
            <w:pPr>
              <w:rPr>
                <w:rFonts w:hint="default" w:ascii="宋体" w:hAnsi="宋体" w:eastAsia="宋体" w:cs="宋体"/>
                <w:i w:val="0"/>
                <w:iCs w:val="0"/>
                <w:color w:val="000000"/>
                <w:kern w:val="0"/>
                <w:sz w:val="24"/>
                <w:szCs w:val="24"/>
                <w:u w:val="none"/>
                <w:lang w:val="en-US" w:eastAsia="zh-CN"/>
              </w:rPr>
            </w:pPr>
          </w:p>
        </w:tc>
        <w:tc>
          <w:tcPr>
            <w:tcW w:w="1157" w:type="dxa"/>
            <w:vMerge w:val="continue"/>
            <w:tcBorders>
              <w:top w:val="single" w:color="000000" w:sz="4" w:space="0"/>
              <w:left w:val="single" w:color="000000" w:sz="4" w:space="0"/>
              <w:bottom w:val="single" w:color="000000" w:sz="4" w:space="0"/>
              <w:right w:val="nil"/>
            </w:tcBorders>
            <w:vAlign w:val="center"/>
          </w:tcPr>
          <w:p/>
        </w:tc>
        <w:tc>
          <w:tcPr>
            <w:tcW w:w="1380" w:type="dxa"/>
            <w:tcBorders>
              <w:top w:val="single" w:color="000000" w:sz="4" w:space="0"/>
              <w:left w:val="single" w:color="000000" w:sz="4" w:space="0"/>
              <w:bottom w:val="single" w:color="000000" w:sz="4" w:space="0"/>
              <w:right w:val="nil"/>
            </w:tcBorders>
            <w:vAlign w:val="center"/>
          </w:tcPr>
          <w:p>
            <w:pPr>
              <w:widowControl/>
              <w:jc w:val="left"/>
              <w:textAlignment w:val="center"/>
            </w:pPr>
            <w:r>
              <w:rPr>
                <w:rFonts w:hint="eastAsia" w:ascii="宋体" w:hAnsi="宋体" w:eastAsia="宋体" w:cs="宋体"/>
                <w:i w:val="0"/>
                <w:color w:val="000000"/>
                <w:kern w:val="0"/>
                <w:sz w:val="22"/>
                <w:szCs w:val="22"/>
                <w:u w:val="none"/>
                <w:lang w:val="en-US" w:eastAsia="zh-CN" w:bidi="ar-SA"/>
              </w:rPr>
              <w:t>生态效益指标</w:t>
            </w:r>
          </w:p>
        </w:tc>
        <w:tc>
          <w:tcPr>
            <w:tcW w:w="2173" w:type="dxa"/>
            <w:tcBorders>
              <w:top w:val="single" w:color="000000" w:sz="4" w:space="0"/>
              <w:left w:val="single" w:color="000000" w:sz="4" w:space="0"/>
              <w:bottom w:val="single" w:color="000000" w:sz="4" w:space="0"/>
              <w:right w:val="nil"/>
            </w:tcBorders>
            <w:vAlign w:val="center"/>
          </w:tcPr>
          <w:p>
            <w:pPr>
              <w:widowControl/>
              <w:jc w:val="center"/>
              <w:textAlignment w:val="center"/>
            </w:pPr>
            <w:r>
              <w:rPr>
                <w:rFonts w:hint="eastAsia" w:ascii="仿宋" w:hAnsi="仿宋" w:eastAsia="仿宋" w:cs="仿宋"/>
                <w:i w:val="0"/>
                <w:color w:val="000000"/>
                <w:kern w:val="0"/>
                <w:sz w:val="20"/>
                <w:szCs w:val="20"/>
                <w:u w:val="none"/>
                <w:lang w:val="en-US" w:eastAsia="zh-CN" w:bidi="ar-SA"/>
              </w:rPr>
              <w:t>幼儿园环境改善</w:t>
            </w:r>
          </w:p>
        </w:tc>
        <w:tc>
          <w:tcPr>
            <w:tcW w:w="1485" w:type="dxa"/>
            <w:tcBorders>
              <w:top w:val="single" w:color="000000" w:sz="4" w:space="0"/>
              <w:left w:val="single" w:color="000000" w:sz="4" w:space="0"/>
              <w:bottom w:val="single" w:color="000000" w:sz="4" w:space="0"/>
              <w:right w:val="nil"/>
            </w:tcBorders>
            <w:vAlign w:val="center"/>
          </w:tcPr>
          <w:p>
            <w:pPr>
              <w:widowControl/>
              <w:jc w:val="center"/>
              <w:textAlignment w:val="center"/>
            </w:pPr>
            <w:r>
              <w:rPr>
                <w:rFonts w:hint="eastAsia" w:ascii="仿宋_GB2312" w:hAnsi="宋体" w:eastAsia="仿宋_GB2312" w:cs="仿宋_GB2312"/>
                <w:i w:val="0"/>
                <w:color w:val="000000"/>
                <w:kern w:val="0"/>
                <w:sz w:val="20"/>
                <w:szCs w:val="20"/>
                <w:u w:val="none"/>
                <w:lang w:val="en-US" w:eastAsia="zh-CN" w:bidi="ar-SA"/>
              </w:rPr>
              <w:t>改善</w:t>
            </w:r>
          </w:p>
        </w:tc>
        <w:tc>
          <w:tcPr>
            <w:tcW w:w="1249" w:type="dxa"/>
            <w:tcBorders>
              <w:top w:val="single" w:color="000000" w:sz="4" w:space="0"/>
              <w:left w:val="single" w:color="000000" w:sz="4" w:space="0"/>
              <w:bottom w:val="single" w:color="000000" w:sz="4" w:space="0"/>
              <w:right w:val="nil"/>
            </w:tcBorders>
            <w:vAlign w:val="center"/>
          </w:tcPr>
          <w:p>
            <w:pPr>
              <w:widowControl/>
              <w:jc w:val="center"/>
              <w:textAlignment w:val="center"/>
            </w:pPr>
            <w:r>
              <w:rPr>
                <w:rFonts w:hint="eastAsia" w:ascii="仿宋_GB2312" w:hAnsi="宋体" w:eastAsia="仿宋_GB2312" w:cs="仿宋_GB2312"/>
                <w:i w:val="0"/>
                <w:color w:val="000000"/>
                <w:kern w:val="0"/>
                <w:sz w:val="20"/>
                <w:szCs w:val="20"/>
                <w:u w:val="none"/>
                <w:lang w:val="en-US" w:eastAsia="zh-CN" w:bidi="ar-SA"/>
              </w:rPr>
              <w:t>改善</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i w:val="0"/>
                <w:iCs w:val="0"/>
                <w:color w:val="000000"/>
                <w:kern w:val="0"/>
                <w:sz w:val="24"/>
                <w:szCs w:val="24"/>
                <w:u w:val="none"/>
                <w:lang w:val="en-US" w:eastAsia="zh-CN"/>
              </w:rPr>
            </w:pPr>
            <w:r>
              <w:rPr>
                <w:rFonts w:hint="eastAsia" w:ascii="仿宋_GB2312" w:hAnsi="宋体" w:eastAsia="仿宋_GB2312" w:cs="仿宋_GB2312"/>
                <w:i w:val="0"/>
                <w:color w:val="000000"/>
                <w:kern w:val="0"/>
                <w:sz w:val="20"/>
                <w:szCs w:val="20"/>
                <w:u w:val="none"/>
                <w:lang w:val="en-US" w:eastAsia="zh-CN" w:bidi="ar-SA"/>
              </w:rPr>
              <w:t>10</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宋体" w:hAnsi="宋体" w:eastAsia="宋体" w:cs="宋体"/>
                <w:i w:val="0"/>
                <w:iCs w:val="0"/>
                <w:color w:val="000000"/>
                <w:kern w:val="0"/>
                <w:sz w:val="24"/>
                <w:szCs w:val="24"/>
                <w:u w:val="none"/>
                <w:lang w:val="en-US" w:eastAsia="zh-CN"/>
              </w:rPr>
            </w:pPr>
            <w:r>
              <w:rPr>
                <w:rFonts w:hint="eastAsia" w:ascii="仿宋_GB2312" w:hAnsi="宋体" w:eastAsia="仿宋_GB2312" w:cs="仿宋_GB2312"/>
                <w:i w:val="0"/>
                <w:color w:val="000000"/>
                <w:kern w:val="0"/>
                <w:sz w:val="20"/>
                <w:szCs w:val="20"/>
                <w:u w:val="none"/>
                <w:lang w:val="en-US" w:eastAsia="zh-CN" w:bidi="ar-SA"/>
              </w:rPr>
              <w:t>9</w:t>
            </w:r>
          </w:p>
        </w:tc>
      </w:tr>
    </w:tbl>
    <w:p>
      <w:pPr>
        <w:pStyle w:val="2"/>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p>
    <w:p>
      <w:pPr>
        <w:pStyle w:val="5"/>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spacing w:line="600" w:lineRule="exact"/>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1.预算编制工作有待细化。预算编制不够明确和细化，预算编制的合理性需要提高，预算执行力度还要进一步加强。</w:t>
      </w:r>
    </w:p>
    <w:p>
      <w:pPr>
        <w:spacing w:line="600" w:lineRule="exact"/>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2.财务制度不够健全。</w:t>
      </w:r>
    </w:p>
    <w:p>
      <w:pPr>
        <w:spacing w:line="600" w:lineRule="exact"/>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3.相关人员对预算业务有待进一步加强。</w:t>
      </w:r>
    </w:p>
    <w:p>
      <w:pPr>
        <w:spacing w:line="600" w:lineRule="exact"/>
        <w:ind w:firstLine="640" w:firstLineChars="200"/>
        <w:rPr>
          <w:rFonts w:eastAsia="黑体"/>
          <w:sz w:val="32"/>
          <w:szCs w:val="32"/>
        </w:rPr>
      </w:pPr>
      <w:r>
        <w:rPr>
          <w:rFonts w:eastAsia="黑体"/>
          <w:sz w:val="32"/>
          <w:szCs w:val="32"/>
        </w:rPr>
        <w:t>八、下一步改进措施</w:t>
      </w:r>
    </w:p>
    <w:p>
      <w:pPr>
        <w:pStyle w:val="2"/>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针对上述存在的问题及对外整体支出管理工作的需要，拟实施的改进措施如下：</w:t>
      </w:r>
    </w:p>
    <w:p>
      <w:pPr>
        <w:pStyle w:val="2"/>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pStyle w:val="2"/>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2.加强财务管理，严格财务审核。进一步加强单位财务管理，健全单位财务管理制度体系，规范单位财务行为。</w:t>
      </w:r>
    </w:p>
    <w:p>
      <w:pPr>
        <w:pStyle w:val="2"/>
        <w:widowControl/>
        <w:spacing w:before="0" w:beforeAutospacing="0" w:after="0" w:afterAutospacing="0" w:line="33" w:lineRule="atLeast"/>
        <w:ind w:firstLine="560" w:firstLineChars="200"/>
        <w:jc w:val="both"/>
        <w:rPr>
          <w:rFonts w:hint="eastAsia" w:ascii="微软雅黑" w:hAnsi="微软雅黑" w:eastAsia="微软雅黑" w:cs="微软雅黑"/>
          <w:i w:val="0"/>
          <w:iCs w:val="0"/>
          <w:caps w:val="0"/>
          <w:color w:val="333333"/>
          <w:spacing w:val="0"/>
          <w:sz w:val="24"/>
          <w:szCs w:val="24"/>
        </w:rPr>
      </w:pPr>
      <w:r>
        <w:rPr>
          <w:rFonts w:hint="eastAsia" w:ascii="宋体" w:hAnsi="宋体" w:eastAsia="宋体" w:cs="宋体"/>
          <w:kern w:val="2"/>
          <w:sz w:val="28"/>
          <w:szCs w:val="28"/>
          <w:lang w:val="en-US" w:eastAsia="zh-CN" w:bidi="ar-SA"/>
        </w:rPr>
        <w:t>3.对相关人员加强培训，特别是针对《预算法》《行政事业单位会计制度》等学习培训，规范部门预算收支核算，切实提高部门预算收支管理水平</w:t>
      </w:r>
      <w:r>
        <w:rPr>
          <w:rFonts w:hint="eastAsia" w:ascii="微软雅黑" w:hAnsi="微软雅黑" w:eastAsia="微软雅黑" w:cs="微软雅黑"/>
          <w:i w:val="0"/>
          <w:iCs w:val="0"/>
          <w:caps w:val="0"/>
          <w:color w:val="333333"/>
          <w:spacing w:val="0"/>
          <w:sz w:val="24"/>
          <w:szCs w:val="24"/>
        </w:rPr>
        <w:t>。</w:t>
      </w: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r>
        <w:rPr>
          <w:rFonts w:eastAsia="黑体"/>
          <w:sz w:val="32"/>
          <w:szCs w:val="32"/>
        </w:rPr>
        <w:t>九、绩效自评结果拟应用和公开情况</w:t>
      </w:r>
    </w:p>
    <w:p>
      <w:pPr>
        <w:spacing w:line="600" w:lineRule="exact"/>
        <w:ind w:firstLine="640" w:firstLineChars="200"/>
        <w:rPr>
          <w:rFonts w:eastAsia="黑体"/>
          <w:sz w:val="32"/>
          <w:szCs w:val="32"/>
        </w:rPr>
      </w:pPr>
      <w:r>
        <w:rPr>
          <w:rFonts w:eastAsia="黑体"/>
          <w:sz w:val="32"/>
          <w:szCs w:val="32"/>
        </w:rPr>
        <w:t>其他需要说明的情况</w:t>
      </w:r>
    </w:p>
    <w:p>
      <w:pPr>
        <w:rPr>
          <w:sz w:val="30"/>
          <w:szCs w:val="30"/>
        </w:rPr>
      </w:pPr>
    </w:p>
    <w:p>
      <w:r>
        <w:t xml:space="preserve"> </w:t>
      </w: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spacing w:line="560" w:lineRule="exact"/>
        <w:jc w:val="center"/>
        <w:rPr>
          <w:rFonts w:hint="eastAsia" w:ascii="方正小标宋_GBK" w:hAnsi="方正小标宋_GBK" w:eastAsia="方正小标宋_GBK"/>
          <w:kern w:val="0"/>
          <w:sz w:val="44"/>
          <w:szCs w:val="44"/>
          <w:lang w:val="en-US" w:eastAsia="zh-CN"/>
        </w:rPr>
      </w:pPr>
      <w:r>
        <w:rPr>
          <w:rFonts w:hint="eastAsia" w:ascii="方正小标宋_GBK" w:hAnsi="方正小标宋_GBK" w:eastAsia="方正小标宋_GBK"/>
          <w:kern w:val="0"/>
          <w:sz w:val="44"/>
          <w:szCs w:val="44"/>
          <w:lang w:val="en-US" w:eastAsia="zh-CN"/>
        </w:rPr>
        <w:t xml:space="preserve">江永县粗石江镇中心幼儿园部门整体支出绩效评价基础数据表    </w:t>
      </w:r>
    </w:p>
    <w:p>
      <w:pPr>
        <w:spacing w:line="560" w:lineRule="exact"/>
        <w:jc w:val="center"/>
        <w:rPr>
          <w:rFonts w:hint="eastAsia" w:ascii="方正小标宋_GBK" w:hAnsi="方正小标宋_GBK" w:eastAsia="方正小标宋_GBK"/>
          <w:kern w:val="0"/>
          <w:sz w:val="44"/>
          <w:szCs w:val="44"/>
          <w:lang w:val="en-US" w:eastAsia="zh-CN"/>
        </w:rPr>
      </w:pPr>
      <w:r>
        <w:rPr>
          <w:rFonts w:hint="eastAsia" w:ascii="方正小标宋_GBK" w:hAnsi="方正小标宋_GBK" w:eastAsia="方正小标宋_GBK"/>
          <w:kern w:val="0"/>
          <w:sz w:val="44"/>
          <w:szCs w:val="44"/>
          <w:lang w:val="en-US" w:eastAsia="zh-CN"/>
        </w:rPr>
        <w:t xml:space="preserve">                          </w:t>
      </w:r>
      <w:r>
        <w:rPr>
          <w:rFonts w:hint="eastAsia" w:ascii="宋体" w:hAnsi="宋体" w:eastAsia="宋体" w:cs="宋体"/>
          <w:b/>
          <w:i w:val="0"/>
          <w:color w:val="000000"/>
          <w:kern w:val="0"/>
          <w:sz w:val="22"/>
          <w:szCs w:val="22"/>
          <w:u w:val="none"/>
          <w:lang w:val="en-US" w:eastAsia="zh-CN" w:bidi="ar-SA"/>
        </w:rPr>
        <w:t xml:space="preserve"> 单位：万元 </w:t>
      </w:r>
      <w:r>
        <w:rPr>
          <w:rFonts w:hint="eastAsia" w:ascii="方正小标宋_GBK" w:hAnsi="方正小标宋_GBK" w:eastAsia="方正小标宋_GBK"/>
          <w:kern w:val="0"/>
          <w:sz w:val="44"/>
          <w:szCs w:val="44"/>
          <w:lang w:val="en-US" w:eastAsia="zh-CN"/>
        </w:rPr>
        <w:t xml:space="preserve">                                                            </w:t>
      </w:r>
    </w:p>
    <w:tbl>
      <w:tblPr>
        <w:tblStyle w:val="3"/>
        <w:tblW w:w="95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85"/>
        <w:gridCol w:w="1785"/>
        <w:gridCol w:w="1211"/>
        <w:gridCol w:w="1764"/>
        <w:gridCol w:w="1766"/>
        <w:gridCol w:w="12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1" w:hRule="atLeast"/>
        </w:trPr>
        <w:tc>
          <w:tcPr>
            <w:tcW w:w="1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财政供养人员情况</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编制数</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2023年实际在职人数</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2"/>
                <w:szCs w:val="22"/>
                <w:u w:val="none"/>
              </w:rPr>
            </w:pP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20</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20</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1"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经费控制情况(万元)</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2022年决算数</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2023年预算数</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2023年决算数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三公经费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0.68</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1"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1、公务用车购置和维护经费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其中：公车购置</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公车运行维护</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2、出国经费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3、公务接待</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0.68</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项目支出：</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1、业务工作经费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2、运行维护经费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1"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3、本级专项资金（一个专项一行）</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公用经费：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其中：办公经费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0.68</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1"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水费、电费、差旅费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1.24</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会议费、培训费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0.33</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政府采购金额</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1"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 xml:space="preserve">部门基本支出预算调整 </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6" w:hRule="atLeast"/>
        </w:trPr>
        <w:tc>
          <w:tcPr>
            <w:tcW w:w="1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kern w:val="0"/>
                <w:sz w:val="22"/>
                <w:szCs w:val="22"/>
                <w:u w:val="none"/>
                <w:lang w:val="en-US" w:eastAsia="zh-CN" w:bidi="ar-SA"/>
              </w:rPr>
            </w:pPr>
            <w:r>
              <w:rPr>
                <w:rFonts w:hint="eastAsia" w:ascii="宋体" w:hAnsi="宋体" w:eastAsia="宋体" w:cs="宋体"/>
                <w:b/>
                <w:i w:val="0"/>
                <w:color w:val="000000"/>
                <w:kern w:val="0"/>
                <w:sz w:val="22"/>
                <w:szCs w:val="22"/>
                <w:u w:val="none"/>
                <w:lang w:val="en-US" w:eastAsia="zh-CN" w:bidi="ar-SA"/>
              </w:rPr>
              <w:t xml:space="preserve">楼堂馆所控制情况 </w:t>
            </w:r>
          </w:p>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（2023年完工项目）</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kern w:val="0"/>
                <w:sz w:val="22"/>
                <w:szCs w:val="22"/>
                <w:u w:val="none"/>
                <w:lang w:val="en-US" w:eastAsia="zh-CN" w:bidi="ar-SA"/>
              </w:rPr>
            </w:pPr>
            <w:r>
              <w:rPr>
                <w:rFonts w:hint="eastAsia" w:ascii="宋体" w:hAnsi="宋体" w:eastAsia="宋体" w:cs="宋体"/>
                <w:b/>
                <w:i w:val="0"/>
                <w:color w:val="000000"/>
                <w:kern w:val="0"/>
                <w:sz w:val="22"/>
                <w:szCs w:val="22"/>
                <w:u w:val="none"/>
                <w:lang w:val="en-US" w:eastAsia="zh-CN" w:bidi="ar-SA"/>
              </w:rPr>
              <w:t xml:space="preserve">批复规模 </w:t>
            </w:r>
          </w:p>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kern w:val="0"/>
                <w:sz w:val="22"/>
                <w:szCs w:val="22"/>
                <w:u w:val="none"/>
                <w:lang w:val="en-US" w:eastAsia="zh-CN" w:bidi="ar-SA"/>
              </w:rPr>
            </w:pPr>
          </w:p>
          <w:p>
            <w:pPr>
              <w:widowControl/>
              <w:jc w:val="center"/>
              <w:textAlignment w:val="center"/>
              <w:rPr>
                <w:rFonts w:hint="eastAsia" w:ascii="宋体" w:hAnsi="宋体" w:eastAsia="宋体" w:cs="宋体"/>
                <w:b/>
                <w:i w:val="0"/>
                <w:color w:val="000000"/>
                <w:kern w:val="0"/>
                <w:sz w:val="22"/>
                <w:szCs w:val="22"/>
                <w:u w:val="none"/>
                <w:lang w:val="en-US" w:eastAsia="zh-CN" w:bidi="ar-SA"/>
              </w:rPr>
            </w:pPr>
            <w:r>
              <w:rPr>
                <w:rFonts w:hint="eastAsia" w:ascii="宋体" w:hAnsi="宋体" w:eastAsia="宋体" w:cs="宋体"/>
                <w:b/>
                <w:i w:val="0"/>
                <w:color w:val="000000"/>
                <w:kern w:val="0"/>
                <w:sz w:val="22"/>
                <w:szCs w:val="22"/>
                <w:u w:val="none"/>
                <w:lang w:val="en-US" w:eastAsia="zh-CN" w:bidi="ar-SA"/>
              </w:rPr>
              <w:t>实际规模</w:t>
            </w:r>
          </w:p>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规模控制率</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kern w:val="0"/>
                <w:sz w:val="22"/>
                <w:szCs w:val="22"/>
                <w:u w:val="none"/>
                <w:lang w:val="en-US" w:eastAsia="zh-CN" w:bidi="ar-SA"/>
              </w:rPr>
            </w:pPr>
            <w:r>
              <w:rPr>
                <w:rFonts w:hint="eastAsia" w:ascii="宋体" w:hAnsi="宋体" w:eastAsia="宋体" w:cs="宋体"/>
                <w:b/>
                <w:i w:val="0"/>
                <w:color w:val="000000"/>
                <w:kern w:val="0"/>
                <w:sz w:val="22"/>
                <w:szCs w:val="22"/>
                <w:u w:val="none"/>
                <w:lang w:val="en-US" w:eastAsia="zh-CN" w:bidi="ar-SA"/>
              </w:rPr>
              <w:t>实际投资</w:t>
            </w:r>
          </w:p>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投资概算控制率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7" w:hRule="atLeast"/>
        </w:trPr>
        <w:tc>
          <w:tcPr>
            <w:tcW w:w="1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2"/>
                <w:szCs w:val="22"/>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0.00</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0.00</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0.00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厉行节约保障措施</w:t>
            </w:r>
          </w:p>
        </w:tc>
        <w:tc>
          <w:tcPr>
            <w:tcW w:w="77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bl>
    <w:p>
      <w:pPr>
        <w:widowControl/>
      </w:pPr>
    </w:p>
    <w:p>
      <w:pPr>
        <w:widowControl/>
      </w:pPr>
    </w:p>
    <w:p>
      <w:pPr>
        <w:widowControl/>
      </w:pPr>
    </w:p>
    <w:p>
      <w:pPr>
        <w:spacing w:line="560" w:lineRule="exact"/>
        <w:jc w:val="center"/>
        <w:rPr>
          <w:rFonts w:hint="eastAsia" w:ascii="方正小标宋_GBK" w:hAnsi="方正小标宋_GBK" w:eastAsia="方正小标宋_GBK"/>
          <w:kern w:val="0"/>
          <w:sz w:val="44"/>
          <w:szCs w:val="44"/>
          <w:lang w:val="en-US" w:eastAsia="zh-CN"/>
        </w:rPr>
      </w:pPr>
      <w:r>
        <w:rPr>
          <w:rFonts w:hint="eastAsia" w:ascii="方正小标宋_GBK" w:hAnsi="方正小标宋_GBK" w:eastAsia="方正小标宋_GBK"/>
          <w:kern w:val="0"/>
          <w:sz w:val="44"/>
          <w:szCs w:val="44"/>
          <w:lang w:val="en-US" w:eastAsia="zh-CN"/>
        </w:rPr>
        <w:t>部门整体支出自评表</w:t>
      </w:r>
    </w:p>
    <w:p>
      <w:pPr>
        <w:spacing w:line="560" w:lineRule="exact"/>
        <w:jc w:val="center"/>
        <w:rPr>
          <w:rFonts w:hint="eastAsia" w:ascii="方正小标宋_GBK" w:hAnsi="方正小标宋_GBK" w:eastAsia="方正小标宋_GBK"/>
          <w:kern w:val="0"/>
          <w:sz w:val="44"/>
          <w:szCs w:val="44"/>
          <w:lang w:val="en-US" w:eastAsia="zh-CN"/>
        </w:rPr>
      </w:pPr>
      <w:r>
        <w:rPr>
          <w:rFonts w:hint="eastAsia" w:ascii="方正小标宋_GBK" w:hAnsi="方正小标宋_GBK" w:eastAsia="方正小标宋_GBK"/>
          <w:kern w:val="0"/>
          <w:sz w:val="44"/>
          <w:szCs w:val="44"/>
          <w:lang w:val="en-US" w:eastAsia="zh-CN"/>
        </w:rPr>
        <w:t>（2023年度）</w:t>
      </w:r>
    </w:p>
    <w:tbl>
      <w:tblPr>
        <w:tblStyle w:val="3"/>
        <w:tblW w:w="93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66"/>
        <w:gridCol w:w="461"/>
        <w:gridCol w:w="505"/>
        <w:gridCol w:w="876"/>
        <w:gridCol w:w="1179"/>
        <w:gridCol w:w="1182"/>
        <w:gridCol w:w="419"/>
        <w:gridCol w:w="466"/>
        <w:gridCol w:w="463"/>
        <w:gridCol w:w="877"/>
        <w:gridCol w:w="1517"/>
        <w:gridCol w:w="9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6" w:hRule="atLeast"/>
        </w:trPr>
        <w:tc>
          <w:tcPr>
            <w:tcW w:w="14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预算部门名称</w:t>
            </w:r>
          </w:p>
        </w:tc>
        <w:tc>
          <w:tcPr>
            <w:tcW w:w="795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江永县粗石江镇中心幼儿园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143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Microsoft YaHei UI" w:hAnsi="Microsoft YaHei UI" w:eastAsia="Microsoft YaHei UI" w:cs="Microsoft YaHei UI"/>
                <w:i w:val="0"/>
                <w:color w:val="000000"/>
                <w:kern w:val="0"/>
                <w:sz w:val="20"/>
                <w:szCs w:val="20"/>
                <w:u w:val="none"/>
                <w:lang w:val="en-US" w:eastAsia="zh-CN" w:bidi="ar-SA"/>
              </w:rPr>
            </w:pPr>
            <w:r>
              <w:rPr>
                <w:rFonts w:hint="default" w:ascii="Microsoft YaHei UI" w:hAnsi="Microsoft YaHei UI" w:eastAsia="Microsoft YaHei UI" w:cs="Microsoft YaHei UI"/>
                <w:i w:val="0"/>
                <w:color w:val="000000"/>
                <w:kern w:val="0"/>
                <w:sz w:val="20"/>
                <w:szCs w:val="20"/>
                <w:u w:val="none"/>
                <w:lang w:val="en-US" w:eastAsia="zh-CN" w:bidi="ar-SA"/>
              </w:rPr>
              <w:t>年度预算申请</w:t>
            </w:r>
          </w:p>
          <w:p>
            <w:pPr>
              <w:widowControl/>
              <w:jc w:val="center"/>
              <w:textAlignment w:val="center"/>
              <w:rPr>
                <w:rFonts w:ascii="Microsoft YaHei UI" w:hAnsi="Microsoft YaHei UI" w:eastAsia="Microsoft YaHei UI" w:cs="Microsoft YaHei UI"/>
                <w:i w:val="0"/>
                <w:color w:val="000000"/>
                <w:sz w:val="20"/>
                <w:szCs w:val="20"/>
                <w:u w:val="none"/>
              </w:rPr>
            </w:pPr>
            <w:r>
              <w:rPr>
                <w:rFonts w:hint="default" w:ascii="Microsoft YaHei UI" w:hAnsi="Microsoft YaHei UI" w:eastAsia="Microsoft YaHei UI" w:cs="Microsoft YaHei UI"/>
                <w:i w:val="0"/>
                <w:color w:val="000000"/>
                <w:kern w:val="0"/>
                <w:sz w:val="20"/>
                <w:szCs w:val="20"/>
                <w:u w:val="none"/>
                <w:lang w:val="en-US" w:eastAsia="zh-CN" w:bidi="ar-SA"/>
              </w:rPr>
              <w:t>(万元)</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年初预算数(万元)</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SA"/>
              </w:rPr>
              <w:t>全年预算数（万元）</w:t>
            </w:r>
          </w:p>
        </w:tc>
        <w:tc>
          <w:tcPr>
            <w:tcW w:w="13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SA"/>
              </w:rPr>
              <w:t>全年执行数（万元）</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SA"/>
              </w:rPr>
              <w:t>分值</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SA"/>
              </w:rPr>
              <w:t>执行率</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14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Microsoft YaHei UI" w:hAnsi="Microsoft YaHei UI" w:eastAsia="Microsoft YaHei UI" w:cs="Microsoft YaHei UI"/>
                <w:i w:val="0"/>
                <w:color w:val="000000"/>
                <w:sz w:val="20"/>
                <w:szCs w:val="20"/>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年度资金总额：</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200.44</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275.70</w:t>
            </w:r>
          </w:p>
        </w:tc>
        <w:tc>
          <w:tcPr>
            <w:tcW w:w="13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275.70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10</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100.00%</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5" w:hRule="atLeast"/>
        </w:trPr>
        <w:tc>
          <w:tcPr>
            <w:tcW w:w="14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Microsoft YaHei UI" w:hAnsi="Microsoft YaHei UI" w:eastAsia="Microsoft YaHei UI" w:cs="Microsoft YaHei UI"/>
                <w:i w:val="0"/>
                <w:color w:val="000000"/>
                <w:sz w:val="20"/>
                <w:szCs w:val="20"/>
                <w:u w:val="none"/>
              </w:rPr>
            </w:pPr>
          </w:p>
        </w:tc>
        <w:tc>
          <w:tcPr>
            <w:tcW w:w="45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按收入性质分：</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14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Microsoft YaHei UI" w:hAnsi="Microsoft YaHei UI" w:eastAsia="Microsoft YaHei UI" w:cs="Microsoft YaHei UI"/>
                <w:i w:val="0"/>
                <w:color w:val="000000"/>
                <w:sz w:val="20"/>
                <w:szCs w:val="20"/>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一般公共预算：</w:t>
            </w:r>
          </w:p>
        </w:tc>
        <w:tc>
          <w:tcPr>
            <w:tcW w:w="37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206.36</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SA"/>
              </w:rPr>
              <w:t>其中:基本支出：</w:t>
            </w:r>
          </w:p>
        </w:tc>
        <w:tc>
          <w:tcPr>
            <w:tcW w:w="24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275.70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14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Microsoft YaHei UI" w:hAnsi="Microsoft YaHei UI" w:eastAsia="Microsoft YaHei UI" w:cs="Microsoft YaHei UI"/>
                <w:i w:val="0"/>
                <w:color w:val="000000"/>
                <w:sz w:val="20"/>
                <w:szCs w:val="20"/>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政府性基金拨款：</w:t>
            </w:r>
          </w:p>
        </w:tc>
        <w:tc>
          <w:tcPr>
            <w:tcW w:w="37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0.00</w:t>
            </w: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0"/>
                <w:szCs w:val="20"/>
                <w:u w:val="none"/>
              </w:rPr>
            </w:pPr>
          </w:p>
        </w:tc>
        <w:tc>
          <w:tcPr>
            <w:tcW w:w="24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48" w:hRule="atLeast"/>
        </w:trPr>
        <w:tc>
          <w:tcPr>
            <w:tcW w:w="14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Microsoft YaHei UI" w:hAnsi="Microsoft YaHei UI" w:eastAsia="Microsoft YaHei UI" w:cs="Microsoft YaHei UI"/>
                <w:i w:val="0"/>
                <w:color w:val="000000"/>
                <w:sz w:val="20"/>
                <w:szCs w:val="20"/>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纳入专户管理的非税收入拨款：</w:t>
            </w:r>
          </w:p>
        </w:tc>
        <w:tc>
          <w:tcPr>
            <w:tcW w:w="37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69.34</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SA"/>
              </w:rPr>
              <w:t>项目支出：</w:t>
            </w:r>
          </w:p>
        </w:tc>
        <w:tc>
          <w:tcPr>
            <w:tcW w:w="24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5" w:hRule="atLeast"/>
        </w:trPr>
        <w:tc>
          <w:tcPr>
            <w:tcW w:w="14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Microsoft YaHei UI" w:hAnsi="Microsoft YaHei UI" w:eastAsia="Microsoft YaHei UI" w:cs="Microsoft YaHei UI"/>
                <w:i w:val="0"/>
                <w:color w:val="000000"/>
                <w:sz w:val="20"/>
                <w:szCs w:val="20"/>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其他资金</w:t>
            </w:r>
          </w:p>
        </w:tc>
        <w:tc>
          <w:tcPr>
            <w:tcW w:w="37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0.0</w:t>
            </w: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0"/>
                <w:szCs w:val="20"/>
                <w:u w:val="none"/>
              </w:rPr>
            </w:pPr>
          </w:p>
        </w:tc>
        <w:tc>
          <w:tcPr>
            <w:tcW w:w="24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69" w:hRule="atLeast"/>
        </w:trPr>
        <w:tc>
          <w:tcPr>
            <w:tcW w:w="143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年度总体目标</w:t>
            </w:r>
          </w:p>
        </w:tc>
        <w:tc>
          <w:tcPr>
            <w:tcW w:w="45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预期目标</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SA"/>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790" w:hRule="atLeast"/>
        </w:trPr>
        <w:tc>
          <w:tcPr>
            <w:tcW w:w="14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20"/>
                <w:szCs w:val="20"/>
                <w:u w:val="none"/>
              </w:rPr>
            </w:pPr>
          </w:p>
        </w:tc>
        <w:tc>
          <w:tcPr>
            <w:tcW w:w="45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按照国家规定政策法规规定和本单位实际情况，建立健全财务基础制度和约束机制，依法、有效地使用财政资金，提高财政资金使用效率，在完成单位职能目标中合理分配人、财、物，使之达到较高地工作效率和水平。</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5" w:hRule="atLeast"/>
        </w:trPr>
        <w:tc>
          <w:tcPr>
            <w:tcW w:w="4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绩效指标</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一级指标</w:t>
            </w:r>
          </w:p>
        </w:tc>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二级指标</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三级指标</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年度指标值</w:t>
            </w:r>
          </w:p>
        </w:tc>
        <w:tc>
          <w:tcPr>
            <w:tcW w:w="160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SA"/>
              </w:rPr>
              <w:t>实际完成值</w:t>
            </w:r>
          </w:p>
        </w:tc>
        <w:tc>
          <w:tcPr>
            <w:tcW w:w="4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分值</w:t>
            </w:r>
          </w:p>
        </w:tc>
        <w:tc>
          <w:tcPr>
            <w:tcW w:w="4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得分</w:t>
            </w:r>
          </w:p>
        </w:tc>
        <w:tc>
          <w:tcPr>
            <w:tcW w:w="337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5"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20"/>
                <w:szCs w:val="20"/>
                <w:u w:val="none"/>
              </w:rPr>
            </w:pPr>
          </w:p>
        </w:tc>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2"/>
                <w:szCs w:val="22"/>
                <w:u w:val="none"/>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20"/>
                <w:szCs w:val="20"/>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20"/>
                <w:szCs w:val="20"/>
                <w:u w:val="none"/>
              </w:rPr>
            </w:pPr>
          </w:p>
        </w:tc>
        <w:tc>
          <w:tcPr>
            <w:tcW w:w="16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0"/>
                <w:szCs w:val="20"/>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20"/>
                <w:szCs w:val="20"/>
                <w:u w:val="none"/>
              </w:rPr>
            </w:pPr>
          </w:p>
        </w:tc>
        <w:tc>
          <w:tcPr>
            <w:tcW w:w="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20"/>
                <w:szCs w:val="20"/>
                <w:u w:val="none"/>
              </w:rPr>
            </w:pPr>
          </w:p>
        </w:tc>
        <w:tc>
          <w:tcPr>
            <w:tcW w:w="33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4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数量指标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教师培训人次</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2次</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2次</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教师考核人数</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20人</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20人</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幼儿园学生人数</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275人</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275人</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质量指标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幼儿园系统完成率</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考核、培训完成率</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资金使用率</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时效指标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完成时间</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2023年年内</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2023年年内</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08"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效益指标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经济效益指标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提高幼师队伍生活质量</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提高幼师队伍生活质量</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提高幼师队伍生活质量</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08"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社会效益指标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促进全员师生全面发展</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促进全员师生全面发展</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促进全员师生全面发展</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08"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生态效益指标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幼儿园环境改善</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改善</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改善</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48"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可持续影响指标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color w:val="000000"/>
                <w:sz w:val="20"/>
                <w:szCs w:val="20"/>
                <w:u w:val="none"/>
              </w:rPr>
            </w:pP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color w:val="000000"/>
                <w:sz w:val="20"/>
                <w:szCs w:val="20"/>
                <w:u w:val="none"/>
              </w:rPr>
            </w:pP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color w:val="000000"/>
                <w:sz w:val="20"/>
                <w:szCs w:val="20"/>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color w:val="000000"/>
                <w:sz w:val="20"/>
                <w:szCs w:val="20"/>
                <w:u w:val="none"/>
              </w:rPr>
            </w:pP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790"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服务对象满意度指标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家长满意度</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≥90%</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96%</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08"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经济成本指标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基本支出</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275.7万元</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275.7万元</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08"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社会成本指标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资金使用合规</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合规</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合规</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70"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生态环境成本指标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color w:val="000000"/>
                <w:sz w:val="20"/>
                <w:szCs w:val="20"/>
                <w:u w:val="none"/>
              </w:rPr>
            </w:pP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color w:val="000000"/>
                <w:sz w:val="20"/>
                <w:szCs w:val="20"/>
                <w:u w:val="none"/>
              </w:rPr>
            </w:pP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color w:val="000000"/>
                <w:sz w:val="20"/>
                <w:szCs w:val="20"/>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bl>
    <w:p>
      <w:pPr>
        <w:widowControl/>
        <w:rPr>
          <w:rFonts w:hint="eastAsia" w:ascii="黑体" w:hAnsi="宋体" w:eastAsia="黑体"/>
          <w:kern w:val="0"/>
          <w:sz w:val="32"/>
          <w:szCs w:val="32"/>
        </w:rPr>
      </w:pPr>
      <w:r>
        <w:rPr>
          <w:rFonts w:hint="eastAsia" w:ascii="黑体" w:hAnsi="黑体" w:eastAsia="黑体"/>
          <w:kern w:val="0"/>
          <w:sz w:val="32"/>
          <w:szCs w:val="32"/>
        </w:rPr>
        <w:t>附件5</w:t>
      </w:r>
    </w:p>
    <w:p>
      <w:pPr>
        <w:spacing w:line="560" w:lineRule="exact"/>
        <w:jc w:val="center"/>
        <w:rPr>
          <w:rFonts w:hint="eastAsia" w:ascii="Times New Roman" w:hAnsi="Times New Roman"/>
          <w:kern w:val="0"/>
          <w:sz w:val="44"/>
          <w:szCs w:val="44"/>
        </w:rPr>
      </w:pPr>
      <w:r>
        <w:rPr>
          <w:rFonts w:hint="eastAsia" w:ascii="方正小标宋_GBK" w:hAnsi="方正小标宋_GBK" w:eastAsia="方正小标宋_GBK"/>
          <w:kern w:val="0"/>
          <w:sz w:val="44"/>
          <w:szCs w:val="44"/>
          <w:lang w:val="en-US" w:eastAsia="zh-CN"/>
        </w:rPr>
        <w:t>江永县粗石江镇中心幼儿园</w:t>
      </w:r>
      <w:r>
        <w:rPr>
          <w:rFonts w:ascii="方正小标宋_GBK" w:hAnsi="方正小标宋_GBK" w:eastAsia="方正小标宋_GBK"/>
          <w:kern w:val="0"/>
          <w:sz w:val="44"/>
          <w:szCs w:val="44"/>
        </w:rPr>
        <w:t>部门整体支出绩效评价表</w:t>
      </w:r>
    </w:p>
    <w:tbl>
      <w:tblPr>
        <w:tblStyle w:val="3"/>
        <w:tblW w:w="106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vAlign w:val="center"/>
          </w:tcPr>
          <w:p>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5</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hint="eastAsia" w:eastAsia="仿宋_GB2312"/>
                <w:kern w:val="0"/>
                <w:sz w:val="20"/>
                <w:szCs w:val="20"/>
                <w:lang w:eastAsia="zh-CN"/>
              </w:rPr>
              <w:t>“三公”经费</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5</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color w:val="FF0000"/>
                <w:kern w:val="0"/>
                <w:sz w:val="24"/>
              </w:rPr>
              <w:t>　</w:t>
            </w:r>
            <w:r>
              <w:rPr>
                <w:rFonts w:hint="eastAsia"/>
                <w:color w:val="000000"/>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color w:val="000000"/>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实际支出数</w:t>
            </w:r>
            <w:r>
              <w:rPr>
                <w:rFonts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eastAsia="zh-CN"/>
              </w:rPr>
            </w:pPr>
            <w:r>
              <w:rPr>
                <w:rFonts w:hint="eastAsia"/>
                <w:kern w:val="0"/>
                <w:sz w:val="24"/>
                <w:lang w:val="en-US" w:eastAsia="zh-CN"/>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6</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23</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vAlign w:val="center"/>
          </w:tcPr>
          <w:p>
            <w:pPr>
              <w:widowControl/>
              <w:jc w:val="left"/>
              <w:rPr>
                <w:kern w:val="0"/>
                <w:sz w:val="24"/>
              </w:rPr>
            </w:pP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vAlign w:val="center"/>
          </w:tcPr>
          <w:p>
            <w:pPr>
              <w:widowControl/>
              <w:jc w:val="left"/>
              <w:rPr>
                <w:rFonts w:hint="eastAsia" w:eastAsia="宋体"/>
                <w:kern w:val="0"/>
                <w:sz w:val="24"/>
                <w:lang w:eastAsia="zh-CN"/>
              </w:rPr>
            </w:pPr>
            <w:r>
              <w:rPr>
                <w:kern w:val="0"/>
                <w:sz w:val="24"/>
              </w:rPr>
              <w:t>　</w:t>
            </w:r>
            <w:r>
              <w:rPr>
                <w:rFonts w:hint="eastAsia"/>
                <w:kern w:val="0"/>
                <w:sz w:val="24"/>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vAlign w:val="center"/>
          </w:tcPr>
          <w:p>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vAlign w:val="center"/>
          </w:tcPr>
          <w:p>
            <w:pPr>
              <w:widowControl/>
              <w:jc w:val="left"/>
              <w:rPr>
                <w:kern w:val="0"/>
                <w:sz w:val="24"/>
              </w:rPr>
            </w:pPr>
            <w:r>
              <w:rPr>
                <w:rFonts w:hint="eastAsia"/>
                <w:kern w:val="0"/>
                <w:sz w:val="24"/>
              </w:rPr>
              <w:t>6</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vAlign w:val="center"/>
          </w:tcPr>
          <w:p>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98</w:t>
            </w:r>
          </w:p>
        </w:tc>
      </w:tr>
    </w:tbl>
    <w:p>
      <w:pPr>
        <w:widowControl/>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Microsoft YaHei UI">
    <w:altName w:val="宋体"/>
    <w:panose1 w:val="020B0503020204020204"/>
    <w:charset w:val="86"/>
    <w:family w:val="auto"/>
    <w:pitch w:val="default"/>
    <w:sig w:usb0="00000000" w:usb1="0000000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abstractNum w:abstractNumId="2">
    <w:nsid w:val="7FA5793A"/>
    <w:multiLevelType w:val="singleLevel"/>
    <w:tmpl w:val="7FA5793A"/>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0YWZhZGQ3ZGI3NGU3OTkxYzIwMzRjYmEyZWY4ZTEifQ=="/>
  </w:docVars>
  <w:rsids>
    <w:rsidRoot w:val="3B2E149E"/>
    <w:rsid w:val="04525DF9"/>
    <w:rsid w:val="0B9A119F"/>
    <w:rsid w:val="0DD245AE"/>
    <w:rsid w:val="0EBE45CE"/>
    <w:rsid w:val="1E81151C"/>
    <w:rsid w:val="2BFC0102"/>
    <w:rsid w:val="3851104B"/>
    <w:rsid w:val="3B2E149E"/>
    <w:rsid w:val="45B42EC3"/>
    <w:rsid w:val="46374628"/>
    <w:rsid w:val="498176A7"/>
    <w:rsid w:val="4D2C6486"/>
    <w:rsid w:val="56713456"/>
    <w:rsid w:val="6234179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rPr>
  </w:style>
  <w:style w:type="paragraph" w:customStyle="1"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2023-11-17T00:43:00Z</dcterms:created>
  <dc:creator>^与久。</dc:creator>
  <cp:lastModifiedBy>Administrator</cp:lastModifiedBy>
  <cp:lastPrinted>2024-05-09T00:43:00Z</cp:lastPrinted>
  <dcterms:modified xsi:type="dcterms:W3CDTF">2024-12-25T02:28:18Z</dcterms:modified>
  <dc:title>2023年度江永县粗石江镇中心幼儿园整体支出绩效自评报告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0BECF838C7BB4574815A0B17F202BD6C_13</vt:lpwstr>
  </property>
</Properties>
</file>